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04511" w:rsidRDefault="00D04511"/>
    <w:p w14:paraId="0A37501D" w14:textId="77777777" w:rsidR="00D04511" w:rsidRDefault="00D04511"/>
    <w:p w14:paraId="250C2C43" w14:textId="77777777" w:rsidR="00D04511" w:rsidRDefault="00000000">
      <w:pPr>
        <w:rPr>
          <w:b/>
          <w:bCs/>
          <w:color w:val="0070C0"/>
          <w:sz w:val="96"/>
          <w:szCs w:val="72"/>
          <w:lang w:eastAsia="en-GB"/>
        </w:rPr>
      </w:pPr>
      <w:r>
        <w:rPr>
          <w:b/>
          <w:bCs/>
          <w:color w:val="0070C0"/>
          <w:sz w:val="96"/>
          <w:szCs w:val="72"/>
          <w:lang w:eastAsia="en-GB"/>
        </w:rPr>
        <w:t xml:space="preserve">Post Results Services </w:t>
      </w:r>
    </w:p>
    <w:p w14:paraId="5F728EB5" w14:textId="77777777" w:rsidR="00D04511" w:rsidRDefault="00000000">
      <w:pPr>
        <w:rPr>
          <w:color w:val="00B0F0"/>
          <w:sz w:val="48"/>
          <w:szCs w:val="72"/>
          <w:lang w:eastAsia="en-GB"/>
        </w:rPr>
      </w:pPr>
      <w:r>
        <w:rPr>
          <w:b/>
          <w:bCs/>
          <w:color w:val="00B0F0"/>
          <w:sz w:val="48"/>
          <w:szCs w:val="72"/>
          <w:lang w:eastAsia="en-GB"/>
        </w:rPr>
        <w:t>Holland Park School</w:t>
      </w:r>
    </w:p>
    <w:p w14:paraId="5DAB6C7B" w14:textId="77777777" w:rsidR="00D04511" w:rsidRDefault="00D04511">
      <w:pPr>
        <w:rPr>
          <w:lang w:eastAsia="en-GB"/>
        </w:rPr>
      </w:pPr>
    </w:p>
    <w:p w14:paraId="02EB378F" w14:textId="77777777" w:rsidR="00D04511" w:rsidRDefault="00D04511">
      <w:pPr>
        <w:rPr>
          <w:color w:val="00CF80"/>
          <w:lang w:eastAsia="en-GB"/>
        </w:rPr>
      </w:pPr>
    </w:p>
    <w:p w14:paraId="6A05A809" w14:textId="77777777" w:rsidR="00D04511" w:rsidRDefault="00D04511">
      <w:pPr>
        <w:rPr>
          <w:lang w:eastAsia="en-GB"/>
        </w:rPr>
      </w:pPr>
    </w:p>
    <w:p w14:paraId="5A39BBE3" w14:textId="77777777" w:rsidR="00D04511" w:rsidRDefault="00D04511">
      <w:pPr>
        <w:rPr>
          <w:lang w:eastAsia="en-GB"/>
        </w:rPr>
      </w:pPr>
    </w:p>
    <w:p w14:paraId="41C8F396" w14:textId="77777777" w:rsidR="00D04511" w:rsidRDefault="00D04511">
      <w:pPr>
        <w:rPr>
          <w:lang w:eastAsia="en-GB"/>
        </w:rPr>
      </w:pPr>
    </w:p>
    <w:p w14:paraId="72A3D3EC" w14:textId="77777777" w:rsidR="00D04511" w:rsidRDefault="00D04511">
      <w:pPr>
        <w:rPr>
          <w:lang w:eastAsia="en-GB"/>
        </w:rPr>
      </w:pPr>
    </w:p>
    <w:p w14:paraId="0D0B940D" w14:textId="77777777" w:rsidR="00D04511" w:rsidRDefault="00D04511">
      <w:pPr>
        <w:rPr>
          <w:lang w:eastAsia="en-GB"/>
        </w:rPr>
      </w:pPr>
    </w:p>
    <w:p w14:paraId="0E27B00A" w14:textId="77777777" w:rsidR="00D04511" w:rsidRDefault="00D04511">
      <w:pPr>
        <w:rPr>
          <w:lang w:eastAsia="en-GB"/>
        </w:rPr>
      </w:pPr>
    </w:p>
    <w:p w14:paraId="60061E4C" w14:textId="77777777" w:rsidR="00D04511" w:rsidRDefault="00D04511">
      <w:pPr>
        <w:rPr>
          <w:lang w:eastAsia="en-GB"/>
        </w:rPr>
      </w:pPr>
    </w:p>
    <w:p w14:paraId="44EAFD9C" w14:textId="77777777" w:rsidR="00D04511" w:rsidRDefault="00D04511">
      <w:pPr>
        <w:rPr>
          <w:lang w:eastAsia="en-GB"/>
        </w:rPr>
      </w:pPr>
    </w:p>
    <w:p w14:paraId="4B94D5A5" w14:textId="77777777" w:rsidR="00D04511" w:rsidRDefault="00D04511">
      <w:pPr>
        <w:rPr>
          <w:lang w:eastAsia="en-GB"/>
        </w:rPr>
      </w:pPr>
    </w:p>
    <w:p w14:paraId="3DEEC669" w14:textId="77777777" w:rsidR="00D04511" w:rsidRDefault="00D04511">
      <w:pPr>
        <w:rPr>
          <w:lang w:eastAsia="en-GB"/>
        </w:rPr>
      </w:pPr>
    </w:p>
    <w:p w14:paraId="3656B9AB" w14:textId="77777777" w:rsidR="00D04511" w:rsidRDefault="00D04511">
      <w:pPr>
        <w:rPr>
          <w:lang w:eastAsia="en-GB"/>
        </w:rPr>
      </w:pPr>
    </w:p>
    <w:p w14:paraId="45FB0818" w14:textId="77777777" w:rsidR="00D04511" w:rsidRDefault="00D04511">
      <w:pPr>
        <w:rPr>
          <w:lang w:eastAsia="en-GB"/>
        </w:rPr>
      </w:pPr>
    </w:p>
    <w:p w14:paraId="049F31CB" w14:textId="77777777" w:rsidR="00D04511" w:rsidRDefault="00D04511">
      <w:pPr>
        <w:rPr>
          <w:lang w:eastAsia="en-GB"/>
        </w:rPr>
      </w:pPr>
    </w:p>
    <w:p w14:paraId="53128261" w14:textId="77777777" w:rsidR="00D04511" w:rsidRDefault="00D04511">
      <w:pPr>
        <w:rPr>
          <w:lang w:eastAsia="en-GB"/>
        </w:rPr>
      </w:pPr>
    </w:p>
    <w:tbl>
      <w:tblPr>
        <w:tblpPr w:leftFromText="180" w:rightFromText="180" w:vertAnchor="text" w:horzAnchor="margin"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6682"/>
      </w:tblGrid>
      <w:tr w:rsidR="00D04511" w14:paraId="468854C2" w14:textId="77777777" w:rsidTr="258CF7BF">
        <w:trPr>
          <w:trHeight w:val="576"/>
        </w:trPr>
        <w:tc>
          <w:tcPr>
            <w:tcW w:w="23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9B9AB1" w14:textId="77777777" w:rsidR="00D04511" w:rsidRDefault="00000000">
            <w:pPr>
              <w:rPr>
                <w:color w:val="333333"/>
                <w:szCs w:val="20"/>
              </w:rPr>
            </w:pPr>
            <w:r>
              <w:rPr>
                <w:color w:val="333333"/>
              </w:rPr>
              <w:t>Date of Review</w:t>
            </w:r>
          </w:p>
        </w:tc>
        <w:tc>
          <w:tcPr>
            <w:tcW w:w="6682" w:type="dxa"/>
            <w:tcBorders>
              <w:top w:val="single" w:sz="4" w:space="0" w:color="auto"/>
              <w:left w:val="single" w:sz="4" w:space="0" w:color="auto"/>
              <w:bottom w:val="single" w:sz="4" w:space="0" w:color="auto"/>
              <w:right w:val="single" w:sz="4" w:space="0" w:color="auto"/>
            </w:tcBorders>
            <w:vAlign w:val="center"/>
            <w:hideMark/>
          </w:tcPr>
          <w:p w14:paraId="174E765D" w14:textId="305C6D67" w:rsidR="00D04511" w:rsidRDefault="0A6D3B5C">
            <w:pPr>
              <w:rPr>
                <w:color w:val="333333"/>
              </w:rPr>
            </w:pPr>
            <w:r w:rsidRPr="0A6D3B5C">
              <w:rPr>
                <w:color w:val="333333"/>
              </w:rPr>
              <w:t xml:space="preserve">August </w:t>
            </w:r>
            <w:r w:rsidR="00DD4972">
              <w:rPr>
                <w:color w:val="333333"/>
              </w:rPr>
              <w:t>2025</w:t>
            </w:r>
          </w:p>
        </w:tc>
      </w:tr>
      <w:tr w:rsidR="00D04511" w14:paraId="130ED66C" w14:textId="77777777" w:rsidTr="258CF7BF">
        <w:trPr>
          <w:trHeight w:val="576"/>
        </w:trPr>
        <w:tc>
          <w:tcPr>
            <w:tcW w:w="23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14437C8" w14:textId="77777777" w:rsidR="00D04511" w:rsidRDefault="00000000">
            <w:pPr>
              <w:rPr>
                <w:color w:val="333333"/>
              </w:rPr>
            </w:pPr>
            <w:r>
              <w:rPr>
                <w:color w:val="333333"/>
              </w:rPr>
              <w:t>Reviewed by</w:t>
            </w:r>
          </w:p>
        </w:tc>
        <w:tc>
          <w:tcPr>
            <w:tcW w:w="6682" w:type="dxa"/>
            <w:tcBorders>
              <w:top w:val="single" w:sz="4" w:space="0" w:color="auto"/>
              <w:left w:val="single" w:sz="4" w:space="0" w:color="auto"/>
              <w:bottom w:val="single" w:sz="4" w:space="0" w:color="auto"/>
              <w:right w:val="single" w:sz="4" w:space="0" w:color="auto"/>
            </w:tcBorders>
            <w:vAlign w:val="center"/>
            <w:hideMark/>
          </w:tcPr>
          <w:p w14:paraId="0FA15E33" w14:textId="006F4965" w:rsidR="00D04511" w:rsidRDefault="258CF7BF">
            <w:pPr>
              <w:rPr>
                <w:color w:val="333333"/>
              </w:rPr>
            </w:pPr>
            <w:r w:rsidRPr="258CF7BF">
              <w:rPr>
                <w:color w:val="333333"/>
              </w:rPr>
              <w:t>Faye Mulholland | Senior Vice Principal</w:t>
            </w:r>
          </w:p>
        </w:tc>
      </w:tr>
      <w:tr w:rsidR="00D04511" w14:paraId="49DD088D" w14:textId="77777777" w:rsidTr="258CF7BF">
        <w:trPr>
          <w:trHeight w:val="576"/>
        </w:trPr>
        <w:tc>
          <w:tcPr>
            <w:tcW w:w="233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0F050BC" w14:textId="77777777" w:rsidR="00D04511" w:rsidRDefault="00000000">
            <w:pPr>
              <w:rPr>
                <w:color w:val="333333"/>
              </w:rPr>
            </w:pPr>
            <w:r>
              <w:rPr>
                <w:color w:val="333333"/>
              </w:rPr>
              <w:t>Date of Next Review</w:t>
            </w:r>
          </w:p>
        </w:tc>
        <w:tc>
          <w:tcPr>
            <w:tcW w:w="6682" w:type="dxa"/>
            <w:tcBorders>
              <w:top w:val="single" w:sz="4" w:space="0" w:color="auto"/>
              <w:left w:val="single" w:sz="4" w:space="0" w:color="auto"/>
              <w:bottom w:val="single" w:sz="4" w:space="0" w:color="auto"/>
              <w:right w:val="single" w:sz="4" w:space="0" w:color="auto"/>
            </w:tcBorders>
            <w:vAlign w:val="center"/>
            <w:hideMark/>
          </w:tcPr>
          <w:p w14:paraId="0879782A" w14:textId="452CE4DB" w:rsidR="00D04511" w:rsidRDefault="0A6D3B5C">
            <w:pPr>
              <w:rPr>
                <w:color w:val="333333"/>
              </w:rPr>
            </w:pPr>
            <w:r w:rsidRPr="0A6D3B5C">
              <w:rPr>
                <w:color w:val="333333"/>
              </w:rPr>
              <w:t xml:space="preserve">Summer </w:t>
            </w:r>
            <w:r w:rsidR="00DD4972">
              <w:rPr>
                <w:color w:val="333333"/>
              </w:rPr>
              <w:t>2026</w:t>
            </w:r>
          </w:p>
        </w:tc>
      </w:tr>
    </w:tbl>
    <w:p w14:paraId="62486C05" w14:textId="77777777" w:rsidR="00D04511" w:rsidRDefault="00D04511">
      <w:pPr>
        <w:jc w:val="both"/>
        <w:rPr>
          <w:rFonts w:ascii="Corbel" w:hAnsi="Corbel"/>
          <w:b/>
        </w:rPr>
      </w:pPr>
    </w:p>
    <w:p w14:paraId="4101652C" w14:textId="77777777" w:rsidR="00D04511" w:rsidRDefault="00D04511">
      <w:pPr>
        <w:jc w:val="both"/>
        <w:rPr>
          <w:rFonts w:ascii="Corbel" w:hAnsi="Corbel"/>
          <w:b/>
        </w:rPr>
      </w:pPr>
    </w:p>
    <w:p w14:paraId="4B99056E" w14:textId="77777777" w:rsidR="00D04511" w:rsidRDefault="00D04511" w:rsidP="0A6D3B5C">
      <w:pPr>
        <w:jc w:val="both"/>
        <w:rPr>
          <w:rFonts w:ascii="Corbel" w:hAnsi="Corbel"/>
          <w:b/>
          <w:bCs/>
          <w:color w:val="0070C0"/>
          <w:sz w:val="28"/>
          <w:szCs w:val="28"/>
        </w:rPr>
      </w:pPr>
    </w:p>
    <w:p w14:paraId="4A6AF572" w14:textId="692F06E0" w:rsidR="0A6D3B5C" w:rsidRDefault="0A6D3B5C" w:rsidP="0A6D3B5C">
      <w:pPr>
        <w:jc w:val="both"/>
        <w:rPr>
          <w:rFonts w:ascii="Corbel" w:hAnsi="Corbel"/>
          <w:b/>
          <w:bCs/>
          <w:color w:val="0070C0"/>
          <w:sz w:val="28"/>
          <w:szCs w:val="28"/>
        </w:rPr>
      </w:pPr>
    </w:p>
    <w:p w14:paraId="1299C43A" w14:textId="77777777" w:rsidR="00D04511" w:rsidRDefault="00D04511">
      <w:pPr>
        <w:jc w:val="both"/>
        <w:rPr>
          <w:rFonts w:ascii="Corbel" w:hAnsi="Corbel"/>
          <w:b/>
          <w:color w:val="0070C0"/>
          <w:sz w:val="28"/>
        </w:rPr>
      </w:pPr>
    </w:p>
    <w:p w14:paraId="3E7A9F1C" w14:textId="77777777" w:rsidR="00D04511" w:rsidRDefault="00000000">
      <w:pPr>
        <w:jc w:val="both"/>
        <w:rPr>
          <w:rFonts w:ascii="Corbel" w:hAnsi="Corbel"/>
          <w:b/>
          <w:color w:val="0070C0"/>
          <w:sz w:val="28"/>
        </w:rPr>
      </w:pPr>
      <w:r>
        <w:rPr>
          <w:rFonts w:ascii="Corbel" w:hAnsi="Corbel"/>
          <w:b/>
          <w:color w:val="0070C0"/>
          <w:sz w:val="28"/>
        </w:rPr>
        <w:t>Introduction</w:t>
      </w:r>
    </w:p>
    <w:p w14:paraId="1DF7EF7D" w14:textId="477C6D1C" w:rsidR="00D04511" w:rsidRDefault="0A6D3B5C">
      <w:pPr>
        <w:jc w:val="both"/>
        <w:rPr>
          <w:rFonts w:ascii="Corbel" w:hAnsi="Corbel"/>
        </w:rPr>
      </w:pPr>
      <w:r w:rsidRPr="0A6D3B5C">
        <w:rPr>
          <w:rFonts w:ascii="Corbel" w:hAnsi="Corbel"/>
        </w:rPr>
        <w:t xml:space="preserve">This procedure confirms Holland Park School’s compliance with JCQ’s General Regulations for Approved Centres 2024-2025, section 5.13 that the centre has in place “a written internal appeals procedure to manage disputes when a candidate disagrees with a centre decision not to support a clerical check, a review of marking, a review of moderation or an appeal...” </w:t>
      </w:r>
    </w:p>
    <w:p w14:paraId="28B3E5A0" w14:textId="77777777" w:rsidR="00D04511" w:rsidRDefault="00000000">
      <w:pPr>
        <w:jc w:val="both"/>
        <w:rPr>
          <w:rFonts w:ascii="Corbel" w:hAnsi="Corbel"/>
        </w:rPr>
      </w:pPr>
      <w:r>
        <w:rPr>
          <w:rFonts w:ascii="Corbel" w:hAnsi="Corbel"/>
        </w:rPr>
        <w:t xml:space="preserve">Following the issue of results, awarding bodies make post-results services available. Full details of these services, internal deadlines for requesting a service and fees charged are provided in </w:t>
      </w:r>
      <w:r>
        <w:rPr>
          <w:rFonts w:ascii="Corbel" w:hAnsi="Corbel"/>
          <w:b/>
        </w:rPr>
        <w:t>Appendix One</w:t>
      </w:r>
      <w:r>
        <w:rPr>
          <w:rFonts w:ascii="Corbel" w:hAnsi="Corbel"/>
        </w:rPr>
        <w:t xml:space="preserve"> and were also provided by the Exams Officer via email ahead of Results Day. </w:t>
      </w:r>
    </w:p>
    <w:p w14:paraId="768AEDDE" w14:textId="77777777" w:rsidR="00D04511" w:rsidRDefault="00000000">
      <w:pPr>
        <w:jc w:val="both"/>
        <w:rPr>
          <w:rFonts w:ascii="Corbel" w:hAnsi="Corbel"/>
        </w:rPr>
      </w:pPr>
      <w:r>
        <w:rPr>
          <w:rFonts w:ascii="Corbel" w:hAnsi="Corbel"/>
        </w:rPr>
        <w:t xml:space="preserve">Before they sit any </w:t>
      </w:r>
      <w:proofErr w:type="gramStart"/>
      <w:r>
        <w:rPr>
          <w:rFonts w:ascii="Corbel" w:hAnsi="Corbel"/>
        </w:rPr>
        <w:t>exams</w:t>
      </w:r>
      <w:proofErr w:type="gramEnd"/>
      <w:r>
        <w:rPr>
          <w:rFonts w:ascii="Corbel" w:hAnsi="Corbel"/>
        </w:rPr>
        <w:t xml:space="preserve"> candidates are informed (via assemblies) of the arrangements for post-results services and the accessibility of senior members of centre staff immediately after the publication of results. If the centre or a candidate (or their parent/carer) has a concern and believes a result may not be accurate, an enquiry about the result may be requested. </w:t>
      </w:r>
    </w:p>
    <w:p w14:paraId="4FA1DD32" w14:textId="77777777" w:rsidR="00D04511" w:rsidRDefault="00000000">
      <w:pPr>
        <w:jc w:val="both"/>
        <w:rPr>
          <w:rFonts w:ascii="Corbel" w:hAnsi="Corbel"/>
          <w:u w:val="single"/>
        </w:rPr>
      </w:pPr>
      <w:r>
        <w:rPr>
          <w:rFonts w:ascii="Corbel" w:hAnsi="Corbel"/>
          <w:u w:val="single"/>
        </w:rPr>
        <w:t>The Awarding Bodies offer three Review of Results (</w:t>
      </w:r>
      <w:proofErr w:type="spellStart"/>
      <w:r>
        <w:rPr>
          <w:rFonts w:ascii="Corbel" w:hAnsi="Corbel"/>
          <w:u w:val="single"/>
        </w:rPr>
        <w:t>RoRs</w:t>
      </w:r>
      <w:proofErr w:type="spellEnd"/>
      <w:r>
        <w:rPr>
          <w:rFonts w:ascii="Corbel" w:hAnsi="Corbel"/>
          <w:u w:val="single"/>
        </w:rPr>
        <w:t>) services.</w:t>
      </w:r>
    </w:p>
    <w:p w14:paraId="6DF623AC" w14:textId="77777777" w:rsidR="00D04511" w:rsidRDefault="00000000">
      <w:pPr>
        <w:jc w:val="both"/>
        <w:rPr>
          <w:rFonts w:ascii="Corbel" w:hAnsi="Corbel"/>
        </w:rPr>
      </w:pPr>
      <w:r>
        <w:rPr>
          <w:rFonts w:ascii="Corbel" w:hAnsi="Corbel"/>
        </w:rPr>
        <w:t xml:space="preserve"> • Service 1 – clerical re-check (checks that the marks awarded have been added up correctly)</w:t>
      </w:r>
    </w:p>
    <w:p w14:paraId="5C88E2B9" w14:textId="77777777" w:rsidR="00D04511" w:rsidRDefault="00000000">
      <w:pPr>
        <w:jc w:val="both"/>
        <w:rPr>
          <w:rFonts w:ascii="Corbel" w:hAnsi="Corbel"/>
        </w:rPr>
      </w:pPr>
      <w:r>
        <w:rPr>
          <w:rFonts w:ascii="Corbel" w:hAnsi="Corbel"/>
        </w:rPr>
        <w:t xml:space="preserve"> • Service 2 – review of marking (re-marks the paper to ensure the mark scheme has been applied fairly)</w:t>
      </w:r>
    </w:p>
    <w:p w14:paraId="448782BD" w14:textId="77777777" w:rsidR="00D04511" w:rsidRDefault="00000000">
      <w:pPr>
        <w:jc w:val="both"/>
        <w:rPr>
          <w:rFonts w:ascii="Corbel" w:hAnsi="Corbel"/>
        </w:rPr>
      </w:pPr>
      <w:r>
        <w:rPr>
          <w:rFonts w:ascii="Corbel" w:hAnsi="Corbel"/>
        </w:rPr>
        <w:t>• Service 3 – review of moderation (this service is not available to an individual candidate)</w:t>
      </w:r>
    </w:p>
    <w:p w14:paraId="6C8B204E" w14:textId="77777777" w:rsidR="00D04511" w:rsidRDefault="00000000">
      <w:pPr>
        <w:jc w:val="both"/>
        <w:rPr>
          <w:rFonts w:ascii="Corbel" w:hAnsi="Corbel"/>
        </w:rPr>
      </w:pPr>
      <w:r>
        <w:rPr>
          <w:rFonts w:ascii="Corbel" w:hAnsi="Corbel"/>
        </w:rPr>
        <w:t xml:space="preserve">Written candidate consent (informed consent via candidate submitting the request for a Post Results Service form) is required in all cases before a request for an </w:t>
      </w:r>
      <w:proofErr w:type="spellStart"/>
      <w:r>
        <w:rPr>
          <w:rFonts w:ascii="Corbel" w:hAnsi="Corbel"/>
        </w:rPr>
        <w:t>RoR</w:t>
      </w:r>
      <w:proofErr w:type="spellEnd"/>
      <w:r>
        <w:rPr>
          <w:rFonts w:ascii="Corbel" w:hAnsi="Corbel"/>
        </w:rPr>
        <w:t xml:space="preserve"> service 1 or 2 is submitted to the awarding body as with these services candidates’ marks and subject grades may be lowered. Candidate consent can only be collected after the publication of results. </w:t>
      </w:r>
    </w:p>
    <w:p w14:paraId="45B89AF9" w14:textId="77777777" w:rsidR="00D04511" w:rsidRDefault="00000000">
      <w:pPr>
        <w:jc w:val="both"/>
        <w:rPr>
          <w:rFonts w:ascii="Corbel" w:hAnsi="Corbel"/>
        </w:rPr>
      </w:pPr>
      <w:r>
        <w:rPr>
          <w:rFonts w:ascii="Corbel" w:hAnsi="Corbel"/>
        </w:rPr>
        <w:t xml:space="preserve">To request an </w:t>
      </w:r>
      <w:proofErr w:type="spellStart"/>
      <w:r>
        <w:rPr>
          <w:rFonts w:ascii="Corbel" w:hAnsi="Corbel"/>
        </w:rPr>
        <w:t>RoR</w:t>
      </w:r>
      <w:proofErr w:type="spellEnd"/>
      <w:r>
        <w:rPr>
          <w:rFonts w:ascii="Corbel" w:hAnsi="Corbel"/>
        </w:rPr>
        <w:t xml:space="preserve"> service, candidates complete an online form giving consent and requesting a particular service. This online form will be sent to students on results day alongside their results. If the Head of Department supports the </w:t>
      </w:r>
      <w:proofErr w:type="spellStart"/>
      <w:r>
        <w:rPr>
          <w:rFonts w:ascii="Corbel" w:hAnsi="Corbel"/>
        </w:rPr>
        <w:t>RoR</w:t>
      </w:r>
      <w:proofErr w:type="spellEnd"/>
      <w:r>
        <w:rPr>
          <w:rFonts w:ascii="Corbel" w:hAnsi="Corbel"/>
        </w:rPr>
        <w:t xml:space="preserve"> request (i.e. they believe that there a good reason to request the </w:t>
      </w:r>
      <w:proofErr w:type="spellStart"/>
      <w:r>
        <w:rPr>
          <w:rFonts w:ascii="Corbel" w:hAnsi="Corbel"/>
        </w:rPr>
        <w:t>RoR</w:t>
      </w:r>
      <w:proofErr w:type="spellEnd"/>
      <w:r>
        <w:rPr>
          <w:rFonts w:ascii="Corbel" w:hAnsi="Corbel"/>
        </w:rPr>
        <w:t xml:space="preserve">) then the </w:t>
      </w:r>
      <w:proofErr w:type="spellStart"/>
      <w:r>
        <w:rPr>
          <w:rFonts w:ascii="Corbel" w:hAnsi="Corbel"/>
        </w:rPr>
        <w:t>RoR</w:t>
      </w:r>
      <w:proofErr w:type="spellEnd"/>
      <w:r>
        <w:rPr>
          <w:rFonts w:ascii="Corbel" w:hAnsi="Corbel"/>
        </w:rPr>
        <w:t xml:space="preserve"> will be processed immediately and the fees covered by the school. The student will receive notification that the school has applied on their </w:t>
      </w:r>
      <w:proofErr w:type="gramStart"/>
      <w:r>
        <w:rPr>
          <w:rFonts w:ascii="Corbel" w:hAnsi="Corbel"/>
        </w:rPr>
        <w:t>behalf</w:t>
      </w:r>
      <w:proofErr w:type="gramEnd"/>
      <w:r>
        <w:rPr>
          <w:rFonts w:ascii="Corbel" w:hAnsi="Corbel"/>
        </w:rPr>
        <w:t xml:space="preserve"> and the outcome will be communicated within 1-3 days of the school receiving the outcome from the Awarding Body. </w:t>
      </w:r>
    </w:p>
    <w:p w14:paraId="16D55CD1" w14:textId="77777777" w:rsidR="00D04511" w:rsidRDefault="00000000">
      <w:pPr>
        <w:jc w:val="both"/>
        <w:rPr>
          <w:rFonts w:ascii="Corbel" w:hAnsi="Corbel"/>
        </w:rPr>
      </w:pPr>
      <w:r>
        <w:rPr>
          <w:rFonts w:ascii="Corbel" w:hAnsi="Corbel"/>
        </w:rPr>
        <w:t xml:space="preserve">Please note that school will only support requests where a candidate’s mark falls </w:t>
      </w:r>
      <w:r>
        <w:rPr>
          <w:rFonts w:ascii="Corbel" w:hAnsi="Corbel"/>
          <w:b/>
        </w:rPr>
        <w:t>1 mark away</w:t>
      </w:r>
      <w:r>
        <w:rPr>
          <w:rFonts w:ascii="Corbel" w:hAnsi="Corbel"/>
        </w:rPr>
        <w:t xml:space="preserve"> from a grade boundary or if the Head of Department feels the grade achieved is vastly different from the usual work produced by a candidate. Fees and admin time connected with these services are high and the school will only agree to process such requests if there is sufficient evidence or scope that a positive change of grade will occur. The Head of Department may request written consent for access to the exam script before a Post Results Service is requested </w:t>
      </w:r>
      <w:proofErr w:type="gramStart"/>
      <w:r>
        <w:rPr>
          <w:rFonts w:ascii="Corbel" w:hAnsi="Corbel"/>
        </w:rPr>
        <w:t>in order to</w:t>
      </w:r>
      <w:proofErr w:type="gramEnd"/>
      <w:r>
        <w:rPr>
          <w:rFonts w:ascii="Corbel" w:hAnsi="Corbel"/>
        </w:rPr>
        <w:t xml:space="preserve"> assess the likelihood of a positive grade change. If this is the case, and the script is not returned by the Awarding Body with adequate time for the school to review this ahead of the deadline for </w:t>
      </w:r>
      <w:proofErr w:type="spellStart"/>
      <w:r>
        <w:rPr>
          <w:rFonts w:ascii="Corbel" w:hAnsi="Corbel"/>
        </w:rPr>
        <w:t>RoR</w:t>
      </w:r>
      <w:proofErr w:type="spellEnd"/>
      <w:r>
        <w:rPr>
          <w:rFonts w:ascii="Corbel" w:hAnsi="Corbel"/>
        </w:rPr>
        <w:t xml:space="preserve"> requests, then the school is not responsible for failure to submit a </w:t>
      </w:r>
      <w:proofErr w:type="spellStart"/>
      <w:r>
        <w:rPr>
          <w:rFonts w:ascii="Corbel" w:hAnsi="Corbel"/>
        </w:rPr>
        <w:t>RoR</w:t>
      </w:r>
      <w:proofErr w:type="spellEnd"/>
      <w:r>
        <w:rPr>
          <w:rFonts w:ascii="Corbel" w:hAnsi="Corbel"/>
        </w:rPr>
        <w:t xml:space="preserve">. </w:t>
      </w:r>
    </w:p>
    <w:p w14:paraId="6B4927ED" w14:textId="77777777" w:rsidR="00D04511" w:rsidRDefault="00000000">
      <w:pPr>
        <w:jc w:val="both"/>
        <w:rPr>
          <w:rFonts w:ascii="Corbel" w:hAnsi="Corbel"/>
        </w:rPr>
      </w:pPr>
      <w:r>
        <w:rPr>
          <w:rFonts w:ascii="Corbel" w:hAnsi="Corbel"/>
        </w:rPr>
        <w:t xml:space="preserve">If the school does not support the </w:t>
      </w:r>
      <w:proofErr w:type="spellStart"/>
      <w:r>
        <w:rPr>
          <w:rFonts w:ascii="Corbel" w:hAnsi="Corbel"/>
        </w:rPr>
        <w:t>RoR</w:t>
      </w:r>
      <w:proofErr w:type="spellEnd"/>
      <w:r>
        <w:rPr>
          <w:rFonts w:ascii="Corbel" w:hAnsi="Corbel"/>
        </w:rPr>
        <w:t xml:space="preserve"> request, notification will also be sent via email to the candidate within 1-3 days of the initial request by the candidate and the candidate will be eligible to appeal. </w:t>
      </w:r>
    </w:p>
    <w:p w14:paraId="4DDBEF00" w14:textId="77777777" w:rsidR="00D04511" w:rsidRDefault="00D04511">
      <w:pPr>
        <w:jc w:val="both"/>
        <w:rPr>
          <w:rFonts w:ascii="Corbel" w:hAnsi="Corbel"/>
          <w:b/>
          <w:sz w:val="24"/>
        </w:rPr>
      </w:pPr>
    </w:p>
    <w:p w14:paraId="3461D779" w14:textId="77777777" w:rsidR="00D04511" w:rsidRDefault="00D04511">
      <w:pPr>
        <w:jc w:val="both"/>
        <w:rPr>
          <w:rFonts w:ascii="Corbel" w:hAnsi="Corbel"/>
          <w:b/>
          <w:sz w:val="24"/>
        </w:rPr>
      </w:pPr>
    </w:p>
    <w:p w14:paraId="55EFEDF3" w14:textId="77777777" w:rsidR="00D04511" w:rsidRDefault="00000000">
      <w:pPr>
        <w:jc w:val="both"/>
        <w:rPr>
          <w:rFonts w:ascii="Corbel" w:hAnsi="Corbel"/>
          <w:b/>
          <w:color w:val="0070C0"/>
          <w:sz w:val="24"/>
        </w:rPr>
      </w:pPr>
      <w:r>
        <w:rPr>
          <w:rFonts w:ascii="Corbel" w:hAnsi="Corbel"/>
          <w:b/>
          <w:color w:val="0070C0"/>
          <w:sz w:val="24"/>
        </w:rPr>
        <w:t xml:space="preserve">Appeals against the decision by school not to support an </w:t>
      </w:r>
      <w:proofErr w:type="spellStart"/>
      <w:r>
        <w:rPr>
          <w:rFonts w:ascii="Corbel" w:hAnsi="Corbel"/>
          <w:b/>
          <w:color w:val="0070C0"/>
          <w:sz w:val="24"/>
        </w:rPr>
        <w:t>RoR</w:t>
      </w:r>
      <w:proofErr w:type="spellEnd"/>
    </w:p>
    <w:p w14:paraId="77BDAE52" w14:textId="77777777" w:rsidR="00D04511" w:rsidRDefault="00000000">
      <w:pPr>
        <w:jc w:val="both"/>
        <w:rPr>
          <w:rFonts w:ascii="Corbel" w:hAnsi="Corbel"/>
        </w:rPr>
      </w:pPr>
      <w:r>
        <w:rPr>
          <w:rFonts w:ascii="Corbel" w:hAnsi="Corbel"/>
        </w:rPr>
        <w:t xml:space="preserve">If the candidate (or his/her parent/carer) believes there are grounds to appeal against the centre’s decision not to support an </w:t>
      </w:r>
      <w:proofErr w:type="spellStart"/>
      <w:r>
        <w:rPr>
          <w:rFonts w:ascii="Corbel" w:hAnsi="Corbel"/>
        </w:rPr>
        <w:t>RoR</w:t>
      </w:r>
      <w:proofErr w:type="spellEnd"/>
      <w:r>
        <w:rPr>
          <w:rFonts w:ascii="Corbel" w:hAnsi="Corbel"/>
        </w:rPr>
        <w:t xml:space="preserve">, an internal appeal can be submitted to the centre by completing the Review of Results Appeal Form, which must be submitted by the deadline outlined in the ‘internal deadlines’ table </w:t>
      </w:r>
      <w:r>
        <w:rPr>
          <w:rFonts w:ascii="Corbel" w:hAnsi="Corbel"/>
          <w:b/>
        </w:rPr>
        <w:t>Appendix 1</w:t>
      </w:r>
      <w:r>
        <w:rPr>
          <w:rFonts w:ascii="Corbel" w:hAnsi="Corbel"/>
        </w:rPr>
        <w:t xml:space="preserve">. The Review of Results Appeals forms will be managed directly by the Head of Centre. The candidate will be informed of the outcome of his/her appeal via email before the internal deadline for submitting an </w:t>
      </w:r>
      <w:proofErr w:type="spellStart"/>
      <w:r>
        <w:rPr>
          <w:rFonts w:ascii="Corbel" w:hAnsi="Corbel"/>
        </w:rPr>
        <w:t>RoR</w:t>
      </w:r>
      <w:proofErr w:type="spellEnd"/>
      <w:r>
        <w:rPr>
          <w:rFonts w:ascii="Corbel" w:hAnsi="Corbel"/>
        </w:rPr>
        <w:t xml:space="preserve">. </w:t>
      </w:r>
    </w:p>
    <w:p w14:paraId="1B076C27" w14:textId="77777777" w:rsidR="00D04511" w:rsidRDefault="00000000">
      <w:pPr>
        <w:jc w:val="both"/>
        <w:rPr>
          <w:rFonts w:ascii="Corbel" w:hAnsi="Corbel"/>
        </w:rPr>
      </w:pPr>
      <w:r>
        <w:rPr>
          <w:rFonts w:ascii="Corbel" w:hAnsi="Corbel"/>
        </w:rPr>
        <w:t>The outcome may either be that:</w:t>
      </w:r>
    </w:p>
    <w:p w14:paraId="7F16D138" w14:textId="77777777" w:rsidR="00D04511" w:rsidRDefault="00000000">
      <w:pPr>
        <w:pStyle w:val="ListParagraph"/>
        <w:numPr>
          <w:ilvl w:val="0"/>
          <w:numId w:val="2"/>
        </w:numPr>
        <w:jc w:val="both"/>
        <w:rPr>
          <w:rFonts w:ascii="Corbel" w:hAnsi="Corbel"/>
        </w:rPr>
      </w:pPr>
      <w:r>
        <w:rPr>
          <w:rFonts w:ascii="Corbel" w:hAnsi="Corbel"/>
        </w:rPr>
        <w:t xml:space="preserve">the school will permit the candidate/ parent or carer to cover the cost of an </w:t>
      </w:r>
      <w:proofErr w:type="spellStart"/>
      <w:r>
        <w:rPr>
          <w:rFonts w:ascii="Corbel" w:hAnsi="Corbel"/>
        </w:rPr>
        <w:t>RoR</w:t>
      </w:r>
      <w:proofErr w:type="spellEnd"/>
      <w:r>
        <w:rPr>
          <w:rFonts w:ascii="Corbel" w:hAnsi="Corbel"/>
        </w:rPr>
        <w:t xml:space="preserve"> request that the school submits. Payment must be received 1 full working day before the school’s published internal deadline for </w:t>
      </w:r>
      <w:proofErr w:type="spellStart"/>
      <w:r>
        <w:rPr>
          <w:rFonts w:ascii="Corbel" w:hAnsi="Corbel"/>
        </w:rPr>
        <w:t>RoRs</w:t>
      </w:r>
      <w:proofErr w:type="spellEnd"/>
      <w:r>
        <w:rPr>
          <w:rFonts w:ascii="Corbel" w:hAnsi="Corbel"/>
        </w:rPr>
        <w:t xml:space="preserve"> or else it will not be </w:t>
      </w:r>
      <w:proofErr w:type="gramStart"/>
      <w:r>
        <w:rPr>
          <w:rFonts w:ascii="Corbel" w:hAnsi="Corbel"/>
        </w:rPr>
        <w:t>processed;</w:t>
      </w:r>
      <w:proofErr w:type="gramEnd"/>
      <w:r>
        <w:rPr>
          <w:rFonts w:ascii="Corbel" w:hAnsi="Corbel"/>
        </w:rPr>
        <w:t xml:space="preserve"> or</w:t>
      </w:r>
    </w:p>
    <w:p w14:paraId="74489ADF" w14:textId="77777777" w:rsidR="00D04511" w:rsidRDefault="00000000">
      <w:pPr>
        <w:pStyle w:val="ListParagraph"/>
        <w:numPr>
          <w:ilvl w:val="0"/>
          <w:numId w:val="2"/>
        </w:numPr>
        <w:jc w:val="both"/>
        <w:rPr>
          <w:rFonts w:ascii="Corbel" w:hAnsi="Corbel"/>
        </w:rPr>
      </w:pPr>
      <w:r>
        <w:rPr>
          <w:rFonts w:ascii="Corbel" w:hAnsi="Corbel"/>
        </w:rPr>
        <w:t xml:space="preserve">the school upholds the decision not to submit a post-results services request on the grounds that such a service is deemed likely to be detrimental the candidate’s grades. </w:t>
      </w:r>
    </w:p>
    <w:p w14:paraId="3CF2D8B6" w14:textId="77777777" w:rsidR="00D04511" w:rsidRDefault="00D04511"/>
    <w:p w14:paraId="1A802A6D" w14:textId="77777777" w:rsidR="00D04511" w:rsidRDefault="00000000">
      <w:pPr>
        <w:jc w:val="both"/>
        <w:rPr>
          <w:rFonts w:ascii="Corbel" w:hAnsi="Corbel"/>
          <w:b/>
          <w:color w:val="002060"/>
          <w:sz w:val="28"/>
        </w:rPr>
      </w:pPr>
      <w:r>
        <w:rPr>
          <w:rFonts w:ascii="Corbel" w:hAnsi="Corbel"/>
          <w:b/>
          <w:color w:val="002060"/>
          <w:sz w:val="28"/>
        </w:rPr>
        <w:t>2.2 Appeals procedure following the outcome of a Review of Results (</w:t>
      </w:r>
      <w:proofErr w:type="spellStart"/>
      <w:r>
        <w:rPr>
          <w:rFonts w:ascii="Corbel" w:hAnsi="Corbel"/>
          <w:b/>
          <w:color w:val="002060"/>
          <w:sz w:val="28"/>
        </w:rPr>
        <w:t>RoR</w:t>
      </w:r>
      <w:proofErr w:type="spellEnd"/>
      <w:r>
        <w:rPr>
          <w:rFonts w:ascii="Corbel" w:hAnsi="Corbel"/>
          <w:b/>
          <w:color w:val="002060"/>
          <w:sz w:val="28"/>
        </w:rPr>
        <w:t xml:space="preserve">) </w:t>
      </w:r>
    </w:p>
    <w:p w14:paraId="0FB78278" w14:textId="77777777" w:rsidR="00D04511" w:rsidRDefault="00D04511">
      <w:pPr>
        <w:jc w:val="both"/>
        <w:rPr>
          <w:rFonts w:ascii="Corbel" w:hAnsi="Corbel"/>
          <w:b/>
          <w:color w:val="002060"/>
          <w:sz w:val="28"/>
        </w:rPr>
      </w:pPr>
    </w:p>
    <w:p w14:paraId="30BF0672" w14:textId="77777777" w:rsidR="00D04511" w:rsidRDefault="00000000">
      <w:pPr>
        <w:jc w:val="both"/>
        <w:rPr>
          <w:rFonts w:ascii="Corbel" w:hAnsi="Corbel"/>
        </w:rPr>
      </w:pPr>
      <w:r>
        <w:rPr>
          <w:rFonts w:ascii="Corbel" w:hAnsi="Corbel"/>
        </w:rPr>
        <w:t xml:space="preserve">Following the </w:t>
      </w:r>
      <w:proofErr w:type="spellStart"/>
      <w:r>
        <w:rPr>
          <w:rFonts w:ascii="Corbel" w:hAnsi="Corbel"/>
        </w:rPr>
        <w:t>RoR</w:t>
      </w:r>
      <w:proofErr w:type="spellEnd"/>
      <w:r>
        <w:rPr>
          <w:rFonts w:ascii="Corbel" w:hAnsi="Corbel"/>
        </w:rPr>
        <w:t xml:space="preserve"> outcome, an external appeals process is available if the Head of Centre remains dissatisfied with the outcome and believes there are grounds for appeal. The JCQ publications Post-Results Services and JCQ Appeals Booklet (A guide to the awarding bodies’ appeals processes) will be consulted to determine the acceptable grounds for a ‘Preliminary Appeal’. Candidates or parents/carers are not permitted to make direct representations to an awarding body. </w:t>
      </w:r>
    </w:p>
    <w:p w14:paraId="3E8C3D6D" w14:textId="77777777" w:rsidR="00D04511" w:rsidRDefault="00000000">
      <w:pPr>
        <w:jc w:val="both"/>
        <w:rPr>
          <w:rFonts w:ascii="Corbel" w:hAnsi="Corbel"/>
        </w:rPr>
      </w:pPr>
      <w:r>
        <w:rPr>
          <w:rFonts w:ascii="Corbel" w:hAnsi="Corbel"/>
        </w:rPr>
        <w:t xml:space="preserve">Where the Head of Centre is satisfied after receiving the </w:t>
      </w:r>
      <w:proofErr w:type="spellStart"/>
      <w:r>
        <w:rPr>
          <w:rFonts w:ascii="Corbel" w:hAnsi="Corbel"/>
        </w:rPr>
        <w:t>RoR</w:t>
      </w:r>
      <w:proofErr w:type="spellEnd"/>
      <w:r>
        <w:rPr>
          <w:rFonts w:ascii="Corbel" w:hAnsi="Corbel"/>
        </w:rPr>
        <w:t xml:space="preserve"> outcome, but the candidate (or his/her parent/carer) believes there are grounds for a Preliminary Appeal to the awarding body, an internal appeal may be made to the Head of Centre, using the Review of Results Appeal Form </w:t>
      </w:r>
      <w:r>
        <w:rPr>
          <w:rFonts w:ascii="Corbel" w:hAnsi="Corbel"/>
          <w:b/>
        </w:rPr>
        <w:t>(Appendix Two).</w:t>
      </w:r>
      <w:r>
        <w:rPr>
          <w:rFonts w:ascii="Corbel" w:hAnsi="Corbel"/>
        </w:rPr>
        <w:t xml:space="preserve"> </w:t>
      </w:r>
    </w:p>
    <w:p w14:paraId="5917AED6" w14:textId="77777777" w:rsidR="00D04511" w:rsidRDefault="00000000">
      <w:pPr>
        <w:jc w:val="both"/>
        <w:rPr>
          <w:rFonts w:ascii="Corbel" w:hAnsi="Corbel"/>
        </w:rPr>
      </w:pPr>
      <w:r>
        <w:rPr>
          <w:rFonts w:ascii="Corbel" w:hAnsi="Corbel"/>
        </w:rPr>
        <w:t xml:space="preserve">The Review of Results Appeal Form should be completed and submitted to the centre within 7 calendar days of the notification of the outcome of the </w:t>
      </w:r>
      <w:proofErr w:type="spellStart"/>
      <w:r>
        <w:rPr>
          <w:rFonts w:ascii="Corbel" w:hAnsi="Corbel"/>
        </w:rPr>
        <w:t>RoR</w:t>
      </w:r>
      <w:proofErr w:type="spellEnd"/>
      <w:r>
        <w:rPr>
          <w:rFonts w:ascii="Corbel" w:hAnsi="Corbel"/>
        </w:rPr>
        <w:t xml:space="preserve">. Subject to the Head of Centre’s decision, this will allow the centre to process the Preliminary Appeal and submit to the awarding body within the required 30 calendar days of receiving the outcome of the Review of Results process. </w:t>
      </w:r>
    </w:p>
    <w:p w14:paraId="30D0DD55" w14:textId="77777777" w:rsidR="00D04511" w:rsidRDefault="00000000">
      <w:pPr>
        <w:jc w:val="both"/>
        <w:rPr>
          <w:rFonts w:ascii="Corbel" w:hAnsi="Corbel"/>
        </w:rPr>
      </w:pPr>
      <w:r>
        <w:rPr>
          <w:rFonts w:ascii="Corbel" w:hAnsi="Corbel"/>
        </w:rPr>
        <w:t xml:space="preserve">The Head of Centre’s decision as to whether to proceed with a Preliminary Appeal will be based upon the acceptable grounds as detailed in the JCQ Appeals Booklet. </w:t>
      </w:r>
    </w:p>
    <w:p w14:paraId="5C449248" w14:textId="77777777" w:rsidR="00D04511" w:rsidRDefault="00000000">
      <w:pPr>
        <w:jc w:val="both"/>
        <w:rPr>
          <w:rFonts w:ascii="Corbel" w:hAnsi="Corbel"/>
        </w:rPr>
      </w:pPr>
      <w:r>
        <w:rPr>
          <w:rFonts w:ascii="Corbel" w:hAnsi="Corbel"/>
        </w:rPr>
        <w:t>Awarding body fees, which may be charged for the Preliminary Appeal, must be paid to the centre before the appeal can be submitted to the awarding body (details of fees are available from the Exams Officer). If the appeal is upheld by the awarding body, they will refund the fee which will then be repaid to the candidate by the school.</w:t>
      </w:r>
    </w:p>
    <w:p w14:paraId="1FC39945" w14:textId="77777777" w:rsidR="00D04511" w:rsidRDefault="00D04511">
      <w:pPr>
        <w:jc w:val="both"/>
        <w:rPr>
          <w:rFonts w:ascii="Corbel" w:hAnsi="Corbel"/>
        </w:rPr>
      </w:pPr>
    </w:p>
    <w:p w14:paraId="0562CB0E" w14:textId="77777777" w:rsidR="00D04511" w:rsidRDefault="00D04511">
      <w:pPr>
        <w:jc w:val="both"/>
        <w:rPr>
          <w:rFonts w:ascii="Corbel" w:hAnsi="Corbel"/>
        </w:rPr>
      </w:pPr>
    </w:p>
    <w:p w14:paraId="34CE0A41" w14:textId="77777777" w:rsidR="00D04511" w:rsidRDefault="00D04511">
      <w:pPr>
        <w:jc w:val="both"/>
        <w:rPr>
          <w:rFonts w:ascii="Corbel" w:hAnsi="Corbel"/>
        </w:rPr>
      </w:pPr>
    </w:p>
    <w:p w14:paraId="4E4B74CF" w14:textId="7C111A97" w:rsidR="0A6D3B5C" w:rsidRDefault="0A6D3B5C" w:rsidP="0A6D3B5C">
      <w:pPr>
        <w:jc w:val="both"/>
        <w:rPr>
          <w:rFonts w:ascii="Corbel" w:hAnsi="Corbel"/>
        </w:rPr>
      </w:pPr>
    </w:p>
    <w:p w14:paraId="10C7274C" w14:textId="77777777" w:rsidR="00D04511" w:rsidRDefault="00000000">
      <w:pPr>
        <w:rPr>
          <w:b/>
          <w:color w:val="0070C0"/>
          <w:sz w:val="36"/>
        </w:rPr>
      </w:pPr>
      <w:r>
        <w:rPr>
          <w:b/>
          <w:color w:val="0070C0"/>
          <w:sz w:val="36"/>
        </w:rPr>
        <w:t>Appendix 1: Internal Deadlines</w:t>
      </w:r>
    </w:p>
    <w:tbl>
      <w:tblPr>
        <w:tblStyle w:val="TableGrid"/>
        <w:tblW w:w="0" w:type="auto"/>
        <w:tblLook w:val="04A0" w:firstRow="1" w:lastRow="0" w:firstColumn="1" w:lastColumn="0" w:noHBand="0" w:noVBand="1"/>
      </w:tblPr>
      <w:tblGrid>
        <w:gridCol w:w="1555"/>
        <w:gridCol w:w="992"/>
        <w:gridCol w:w="2835"/>
        <w:gridCol w:w="3634"/>
      </w:tblGrid>
      <w:tr w:rsidR="00D04511" w14:paraId="7939BB97" w14:textId="77777777" w:rsidTr="258CF7BF">
        <w:tc>
          <w:tcPr>
            <w:tcW w:w="1555" w:type="dxa"/>
            <w:shd w:val="clear" w:color="auto" w:fill="BDD6EE" w:themeFill="accent1" w:themeFillTint="66"/>
          </w:tcPr>
          <w:p w14:paraId="5A120206" w14:textId="77777777" w:rsidR="00D04511" w:rsidRDefault="00000000">
            <w:pPr>
              <w:jc w:val="center"/>
              <w:rPr>
                <w:b/>
              </w:rPr>
            </w:pPr>
            <w:r>
              <w:rPr>
                <w:b/>
              </w:rPr>
              <w:t>Date/Time</w:t>
            </w:r>
          </w:p>
        </w:tc>
        <w:tc>
          <w:tcPr>
            <w:tcW w:w="992" w:type="dxa"/>
            <w:shd w:val="clear" w:color="auto" w:fill="BDD6EE" w:themeFill="accent1" w:themeFillTint="66"/>
          </w:tcPr>
          <w:p w14:paraId="65CDF5D0" w14:textId="77777777" w:rsidR="00D04511" w:rsidRDefault="00000000">
            <w:pPr>
              <w:jc w:val="center"/>
              <w:rPr>
                <w:b/>
              </w:rPr>
            </w:pPr>
            <w:r>
              <w:rPr>
                <w:b/>
              </w:rPr>
              <w:t>Qual</w:t>
            </w:r>
          </w:p>
        </w:tc>
        <w:tc>
          <w:tcPr>
            <w:tcW w:w="2835" w:type="dxa"/>
            <w:shd w:val="clear" w:color="auto" w:fill="BDD6EE" w:themeFill="accent1" w:themeFillTint="66"/>
          </w:tcPr>
          <w:p w14:paraId="08D49549" w14:textId="77777777" w:rsidR="00D04511" w:rsidRDefault="00000000">
            <w:pPr>
              <w:jc w:val="center"/>
              <w:rPr>
                <w:b/>
              </w:rPr>
            </w:pPr>
            <w:r>
              <w:rPr>
                <w:b/>
              </w:rPr>
              <w:t>Service</w:t>
            </w:r>
          </w:p>
        </w:tc>
        <w:tc>
          <w:tcPr>
            <w:tcW w:w="3634" w:type="dxa"/>
            <w:shd w:val="clear" w:color="auto" w:fill="BDD6EE" w:themeFill="accent1" w:themeFillTint="66"/>
          </w:tcPr>
          <w:p w14:paraId="5F3D92F5" w14:textId="378F1118" w:rsidR="00D04511" w:rsidRDefault="0A6D3B5C" w:rsidP="0A6D3B5C">
            <w:pPr>
              <w:jc w:val="center"/>
              <w:rPr>
                <w:b/>
                <w:bCs/>
              </w:rPr>
            </w:pPr>
            <w:r w:rsidRPr="0A6D3B5C">
              <w:rPr>
                <w:b/>
                <w:bCs/>
              </w:rPr>
              <w:t>Indicative charge 202</w:t>
            </w:r>
            <w:r w:rsidR="0FBAAC22" w:rsidRPr="0A6D3B5C">
              <w:rPr>
                <w:b/>
                <w:bCs/>
              </w:rPr>
              <w:t>5</w:t>
            </w:r>
          </w:p>
        </w:tc>
      </w:tr>
      <w:tr w:rsidR="00D04511" w14:paraId="0E9E684C" w14:textId="77777777" w:rsidTr="258CF7BF">
        <w:tc>
          <w:tcPr>
            <w:tcW w:w="1555" w:type="dxa"/>
          </w:tcPr>
          <w:p w14:paraId="6E6F6DCB" w14:textId="67BECE11" w:rsidR="00D04511" w:rsidRDefault="4CB48770">
            <w:pPr>
              <w:jc w:val="center"/>
            </w:pPr>
            <w:r>
              <w:t>19th</w:t>
            </w:r>
            <w:r w:rsidR="358838DC">
              <w:t xml:space="preserve"> August: 09:00am</w:t>
            </w:r>
          </w:p>
        </w:tc>
        <w:tc>
          <w:tcPr>
            <w:tcW w:w="992" w:type="dxa"/>
          </w:tcPr>
          <w:p w14:paraId="01259BD1" w14:textId="77777777" w:rsidR="00D04511" w:rsidRDefault="00000000">
            <w:pPr>
              <w:jc w:val="center"/>
            </w:pPr>
            <w:r>
              <w:t>A Level</w:t>
            </w:r>
          </w:p>
        </w:tc>
        <w:tc>
          <w:tcPr>
            <w:tcW w:w="2835" w:type="dxa"/>
          </w:tcPr>
          <w:p w14:paraId="459E95E5" w14:textId="77777777" w:rsidR="00D04511" w:rsidRDefault="00000000">
            <w:pPr>
              <w:jc w:val="center"/>
            </w:pPr>
            <w:r>
              <w:t>Final date to request Priority Service 2 review of marking</w:t>
            </w:r>
          </w:p>
        </w:tc>
        <w:tc>
          <w:tcPr>
            <w:tcW w:w="3634" w:type="dxa"/>
          </w:tcPr>
          <w:p w14:paraId="0116E735" w14:textId="29A59177" w:rsidR="00D04511" w:rsidRDefault="0A6D3B5C">
            <w:pPr>
              <w:jc w:val="center"/>
            </w:pPr>
            <w:r>
              <w:t>£5</w:t>
            </w:r>
            <w:r w:rsidR="028E1CCE">
              <w:t>7.85</w:t>
            </w:r>
            <w:r>
              <w:t xml:space="preserve"> per script for AQA</w:t>
            </w:r>
          </w:p>
          <w:p w14:paraId="181E2BED" w14:textId="375FF3B4" w:rsidR="00D04511" w:rsidRDefault="0A6D3B5C">
            <w:pPr>
              <w:jc w:val="center"/>
            </w:pPr>
            <w:r>
              <w:t>£6</w:t>
            </w:r>
            <w:r w:rsidR="4CCEBC0E">
              <w:t>4</w:t>
            </w:r>
            <w:r>
              <w:t>.</w:t>
            </w:r>
            <w:r w:rsidR="2A56EBBF">
              <w:t>7</w:t>
            </w:r>
            <w:r>
              <w:t>0 per script Edexcel</w:t>
            </w:r>
          </w:p>
          <w:p w14:paraId="62EBF3C5" w14:textId="77777777" w:rsidR="00D04511" w:rsidRDefault="00D04511">
            <w:pPr>
              <w:jc w:val="center"/>
            </w:pPr>
          </w:p>
        </w:tc>
      </w:tr>
      <w:tr w:rsidR="00D04511" w14:paraId="53DFAA4E" w14:textId="77777777" w:rsidTr="258CF7BF">
        <w:tc>
          <w:tcPr>
            <w:tcW w:w="1555" w:type="dxa"/>
          </w:tcPr>
          <w:p w14:paraId="4600290B" w14:textId="7AA89623" w:rsidR="00D04511" w:rsidRDefault="1267F6FC">
            <w:pPr>
              <w:jc w:val="center"/>
            </w:pPr>
            <w:r>
              <w:t>2</w:t>
            </w:r>
            <w:r w:rsidR="4BD14102">
              <w:t>6</w:t>
            </w:r>
            <w:r w:rsidRPr="0A6D3B5C">
              <w:rPr>
                <w:vertAlign w:val="superscript"/>
              </w:rPr>
              <w:t>th</w:t>
            </w:r>
            <w:r>
              <w:t xml:space="preserve"> August</w:t>
            </w:r>
          </w:p>
        </w:tc>
        <w:tc>
          <w:tcPr>
            <w:tcW w:w="992" w:type="dxa"/>
          </w:tcPr>
          <w:p w14:paraId="2CEDF23C" w14:textId="649352A8" w:rsidR="00D04511" w:rsidRDefault="00D04511">
            <w:pPr>
              <w:jc w:val="center"/>
            </w:pPr>
          </w:p>
          <w:p w14:paraId="01332250" w14:textId="77777777" w:rsidR="00D04511" w:rsidRDefault="00000000">
            <w:pPr>
              <w:jc w:val="center"/>
            </w:pPr>
            <w:r>
              <w:t>A Level</w:t>
            </w:r>
          </w:p>
        </w:tc>
        <w:tc>
          <w:tcPr>
            <w:tcW w:w="2835" w:type="dxa"/>
          </w:tcPr>
          <w:p w14:paraId="2B01E13E" w14:textId="77777777" w:rsidR="00D04511" w:rsidRDefault="00000000">
            <w:pPr>
              <w:jc w:val="center"/>
            </w:pPr>
            <w:r>
              <w:t>Final date to request priority copies of marked scripts to decide whether to purpose a review of marking</w:t>
            </w:r>
          </w:p>
        </w:tc>
        <w:tc>
          <w:tcPr>
            <w:tcW w:w="3634" w:type="dxa"/>
          </w:tcPr>
          <w:p w14:paraId="2A31DF6D" w14:textId="77777777" w:rsidR="00D04511" w:rsidRDefault="00000000">
            <w:pPr>
              <w:jc w:val="center"/>
            </w:pPr>
            <w:r>
              <w:t>Free - AQA</w:t>
            </w:r>
          </w:p>
        </w:tc>
      </w:tr>
      <w:tr w:rsidR="00D04511" w14:paraId="630CD4CE" w14:textId="77777777" w:rsidTr="258CF7BF">
        <w:tc>
          <w:tcPr>
            <w:tcW w:w="1555" w:type="dxa"/>
          </w:tcPr>
          <w:p w14:paraId="6CB04072" w14:textId="7DA6DDC5" w:rsidR="00D04511" w:rsidRDefault="0554687A">
            <w:pPr>
              <w:jc w:val="center"/>
            </w:pPr>
            <w:r>
              <w:t>2</w:t>
            </w:r>
            <w:r w:rsidR="79DBCBB5">
              <w:t>5</w:t>
            </w:r>
            <w:r w:rsidRPr="0554687A">
              <w:rPr>
                <w:vertAlign w:val="superscript"/>
              </w:rPr>
              <w:t>th</w:t>
            </w:r>
            <w:r>
              <w:t xml:space="preserve"> August: 09:00am</w:t>
            </w:r>
          </w:p>
        </w:tc>
        <w:tc>
          <w:tcPr>
            <w:tcW w:w="992" w:type="dxa"/>
          </w:tcPr>
          <w:p w14:paraId="4C78383B" w14:textId="77777777" w:rsidR="00D04511" w:rsidRDefault="00000000">
            <w:pPr>
              <w:jc w:val="center"/>
            </w:pPr>
            <w:r>
              <w:t xml:space="preserve">GCSE </w:t>
            </w:r>
          </w:p>
        </w:tc>
        <w:tc>
          <w:tcPr>
            <w:tcW w:w="2835" w:type="dxa"/>
          </w:tcPr>
          <w:p w14:paraId="25581D31" w14:textId="77777777" w:rsidR="00D04511" w:rsidRDefault="00000000">
            <w:pPr>
              <w:jc w:val="center"/>
            </w:pPr>
            <w:r>
              <w:t>Final date to request Priority review of marking</w:t>
            </w:r>
          </w:p>
        </w:tc>
        <w:tc>
          <w:tcPr>
            <w:tcW w:w="3634" w:type="dxa"/>
          </w:tcPr>
          <w:p w14:paraId="3D9F87B6" w14:textId="0FDCD073" w:rsidR="00D04511" w:rsidRDefault="0A6D3B5C">
            <w:pPr>
              <w:jc w:val="center"/>
            </w:pPr>
            <w:r>
              <w:t>£5</w:t>
            </w:r>
            <w:r w:rsidR="615BCE02">
              <w:t>3</w:t>
            </w:r>
            <w:r>
              <w:t>.</w:t>
            </w:r>
            <w:r w:rsidR="6157B1E9">
              <w:t>7</w:t>
            </w:r>
            <w:r>
              <w:t>0 – Edexcel only</w:t>
            </w:r>
          </w:p>
        </w:tc>
      </w:tr>
      <w:tr w:rsidR="00D04511" w14:paraId="5E874F5F" w14:textId="77777777" w:rsidTr="258CF7BF">
        <w:tc>
          <w:tcPr>
            <w:tcW w:w="1555" w:type="dxa"/>
          </w:tcPr>
          <w:p w14:paraId="4EC49BD3" w14:textId="45993AC2" w:rsidR="00D04511" w:rsidRDefault="0554687A" w:rsidP="258CF7BF">
            <w:pPr>
              <w:jc w:val="center"/>
              <w:rPr>
                <w:b/>
                <w:bCs/>
              </w:rPr>
            </w:pPr>
            <w:r w:rsidRPr="258CF7BF">
              <w:rPr>
                <w:b/>
                <w:bCs/>
              </w:rPr>
              <w:t>1</w:t>
            </w:r>
            <w:r w:rsidR="0525C419" w:rsidRPr="258CF7BF">
              <w:rPr>
                <w:b/>
                <w:bCs/>
              </w:rPr>
              <w:t>5</w:t>
            </w:r>
            <w:r w:rsidRPr="258CF7BF">
              <w:rPr>
                <w:b/>
                <w:bCs/>
                <w:vertAlign w:val="superscript"/>
              </w:rPr>
              <w:t>th</w:t>
            </w:r>
            <w:r w:rsidRPr="258CF7BF">
              <w:rPr>
                <w:b/>
                <w:bCs/>
              </w:rPr>
              <w:t xml:space="preserve"> September: 09:00am </w:t>
            </w:r>
          </w:p>
        </w:tc>
        <w:tc>
          <w:tcPr>
            <w:tcW w:w="992" w:type="dxa"/>
          </w:tcPr>
          <w:p w14:paraId="553F44A3" w14:textId="77777777" w:rsidR="00D04511" w:rsidRDefault="00000000">
            <w:pPr>
              <w:jc w:val="center"/>
            </w:pPr>
            <w:r>
              <w:t>GCSE</w:t>
            </w:r>
          </w:p>
          <w:p w14:paraId="6D510C6A" w14:textId="77777777" w:rsidR="00D04511" w:rsidRDefault="00000000">
            <w:pPr>
              <w:jc w:val="center"/>
            </w:pPr>
            <w:r>
              <w:t>A Level</w:t>
            </w:r>
          </w:p>
        </w:tc>
        <w:tc>
          <w:tcPr>
            <w:tcW w:w="2835" w:type="dxa"/>
          </w:tcPr>
          <w:p w14:paraId="0F467A54" w14:textId="77777777" w:rsidR="00D04511" w:rsidRDefault="00000000">
            <w:pPr>
              <w:jc w:val="center"/>
            </w:pPr>
            <w:r>
              <w:t xml:space="preserve">Deadline for any internal appeals against </w:t>
            </w:r>
            <w:proofErr w:type="spellStart"/>
            <w:r>
              <w:t>RoR</w:t>
            </w:r>
            <w:proofErr w:type="spellEnd"/>
            <w:r>
              <w:t xml:space="preserve"> support to be returned to the school.</w:t>
            </w:r>
          </w:p>
          <w:p w14:paraId="21C90E4C" w14:textId="77777777" w:rsidR="00D04511" w:rsidRDefault="00000000">
            <w:pPr>
              <w:jc w:val="center"/>
            </w:pPr>
            <w:r>
              <w:t xml:space="preserve">Any Post Results Services requested after this date will not be subject to the right of appeal due to processing times.  </w:t>
            </w:r>
          </w:p>
        </w:tc>
        <w:tc>
          <w:tcPr>
            <w:tcW w:w="3634" w:type="dxa"/>
          </w:tcPr>
          <w:p w14:paraId="6D98A12B" w14:textId="77777777" w:rsidR="00D04511" w:rsidRDefault="00D04511">
            <w:pPr>
              <w:jc w:val="center"/>
            </w:pPr>
          </w:p>
          <w:p w14:paraId="2946DB82" w14:textId="77777777" w:rsidR="00D04511" w:rsidRDefault="00D04511">
            <w:pPr>
              <w:jc w:val="center"/>
            </w:pPr>
          </w:p>
          <w:p w14:paraId="03600357" w14:textId="77777777" w:rsidR="00D04511" w:rsidRDefault="00000000">
            <w:pPr>
              <w:jc w:val="center"/>
            </w:pPr>
            <w:r>
              <w:t>Free</w:t>
            </w:r>
          </w:p>
        </w:tc>
      </w:tr>
      <w:tr w:rsidR="00D04511" w14:paraId="0B11228F" w14:textId="77777777" w:rsidTr="258CF7BF">
        <w:tc>
          <w:tcPr>
            <w:tcW w:w="1555" w:type="dxa"/>
          </w:tcPr>
          <w:p w14:paraId="609DA6A4" w14:textId="2F67101C" w:rsidR="00D04511" w:rsidRDefault="0554687A" w:rsidP="0554687A">
            <w:pPr>
              <w:jc w:val="center"/>
              <w:rPr>
                <w:b/>
                <w:bCs/>
              </w:rPr>
            </w:pPr>
            <w:proofErr w:type="gramStart"/>
            <w:r w:rsidRPr="258CF7BF">
              <w:rPr>
                <w:b/>
                <w:bCs/>
              </w:rPr>
              <w:t>2</w:t>
            </w:r>
            <w:r w:rsidR="2D8A1712" w:rsidRPr="258CF7BF">
              <w:rPr>
                <w:b/>
                <w:bCs/>
              </w:rPr>
              <w:t>2</w:t>
            </w:r>
            <w:r w:rsidRPr="258CF7BF">
              <w:rPr>
                <w:b/>
                <w:bCs/>
                <w:vertAlign w:val="superscript"/>
              </w:rPr>
              <w:t>rd</w:t>
            </w:r>
            <w:proofErr w:type="gramEnd"/>
            <w:r w:rsidRPr="258CF7BF">
              <w:rPr>
                <w:b/>
                <w:bCs/>
              </w:rPr>
              <w:t xml:space="preserve"> September: 09:00am</w:t>
            </w:r>
          </w:p>
        </w:tc>
        <w:tc>
          <w:tcPr>
            <w:tcW w:w="992" w:type="dxa"/>
          </w:tcPr>
          <w:p w14:paraId="6211BDEC" w14:textId="77777777" w:rsidR="00D04511" w:rsidRDefault="00000000">
            <w:pPr>
              <w:jc w:val="center"/>
            </w:pPr>
            <w:r>
              <w:t>A Level, GCSE</w:t>
            </w:r>
          </w:p>
        </w:tc>
        <w:tc>
          <w:tcPr>
            <w:tcW w:w="2835" w:type="dxa"/>
          </w:tcPr>
          <w:p w14:paraId="520A97FC" w14:textId="77777777" w:rsidR="00D04511" w:rsidRDefault="00000000">
            <w:pPr>
              <w:jc w:val="center"/>
            </w:pPr>
            <w:r>
              <w:t>Deadline for all post-results services and access to script requests</w:t>
            </w:r>
          </w:p>
        </w:tc>
        <w:tc>
          <w:tcPr>
            <w:tcW w:w="3634" w:type="dxa"/>
          </w:tcPr>
          <w:p w14:paraId="596489DB" w14:textId="77777777" w:rsidR="00D04511" w:rsidRDefault="00000000">
            <w:pPr>
              <w:jc w:val="center"/>
            </w:pPr>
            <w:r>
              <w:rPr>
                <w:b/>
                <w:u w:val="single"/>
              </w:rPr>
              <w:t>Clerical re-check</w:t>
            </w:r>
            <w:r>
              <w:t xml:space="preserve"> </w:t>
            </w:r>
          </w:p>
          <w:p w14:paraId="7636448C" w14:textId="35B8D1F3" w:rsidR="00D04511" w:rsidRDefault="0A6D3B5C">
            <w:pPr>
              <w:jc w:val="center"/>
            </w:pPr>
            <w:r>
              <w:t>£</w:t>
            </w:r>
            <w:r w:rsidR="338AD7A8">
              <w:t>9</w:t>
            </w:r>
            <w:r>
              <w:t>.</w:t>
            </w:r>
            <w:r w:rsidR="3D31E2FB">
              <w:t>05</w:t>
            </w:r>
            <w:r>
              <w:t xml:space="preserve"> per paper </w:t>
            </w:r>
            <w:r w:rsidR="1EE43A6F">
              <w:t xml:space="preserve">/ Unit </w:t>
            </w:r>
            <w:r>
              <w:t>(AQA)</w:t>
            </w:r>
          </w:p>
          <w:p w14:paraId="75B131A6" w14:textId="054BE32A" w:rsidR="00D04511" w:rsidRDefault="0A6D3B5C">
            <w:pPr>
              <w:jc w:val="center"/>
            </w:pPr>
            <w:r>
              <w:t>£1</w:t>
            </w:r>
            <w:r w:rsidR="1B3F36C0">
              <w:t>3</w:t>
            </w:r>
            <w:r>
              <w:t>.</w:t>
            </w:r>
            <w:r w:rsidR="3358D9BE">
              <w:t>1</w:t>
            </w:r>
            <w:r>
              <w:t>0 per paper (Edexcel)</w:t>
            </w:r>
          </w:p>
          <w:p w14:paraId="5997CC1D" w14:textId="77777777" w:rsidR="00D04511" w:rsidRDefault="00D04511">
            <w:pPr>
              <w:jc w:val="center"/>
            </w:pPr>
          </w:p>
          <w:p w14:paraId="110FFD37" w14:textId="77777777" w:rsidR="00D04511" w:rsidRDefault="00D04511">
            <w:pPr>
              <w:jc w:val="center"/>
              <w:rPr>
                <w:b/>
                <w:u w:val="single"/>
              </w:rPr>
            </w:pPr>
          </w:p>
          <w:p w14:paraId="1AF83FD3" w14:textId="77777777" w:rsidR="00D04511" w:rsidRDefault="00000000">
            <w:pPr>
              <w:jc w:val="center"/>
              <w:rPr>
                <w:b/>
                <w:u w:val="single"/>
              </w:rPr>
            </w:pPr>
            <w:r>
              <w:rPr>
                <w:b/>
                <w:u w:val="single"/>
              </w:rPr>
              <w:t>Review of marking (Price per paper)</w:t>
            </w:r>
          </w:p>
          <w:p w14:paraId="4606B6EB" w14:textId="3EC4E356" w:rsidR="00D04511" w:rsidRDefault="0A6D3B5C">
            <w:pPr>
              <w:jc w:val="center"/>
            </w:pPr>
            <w:r>
              <w:t>£4</w:t>
            </w:r>
            <w:r w:rsidR="20FED308">
              <w:t>2</w:t>
            </w:r>
            <w:r>
              <w:t>.</w:t>
            </w:r>
            <w:r w:rsidR="2B7067A8">
              <w:t>00</w:t>
            </w:r>
            <w:r>
              <w:t xml:space="preserve"> for GCSE (AQA)</w:t>
            </w:r>
          </w:p>
          <w:p w14:paraId="028F0E7D" w14:textId="62439C73" w:rsidR="00D04511" w:rsidRDefault="0A6D3B5C">
            <w:pPr>
              <w:jc w:val="center"/>
            </w:pPr>
            <w:r>
              <w:t>£4</w:t>
            </w:r>
            <w:r w:rsidR="5A770693">
              <w:t>6</w:t>
            </w:r>
            <w:r>
              <w:t>.</w:t>
            </w:r>
            <w:r w:rsidR="46657371">
              <w:t>7</w:t>
            </w:r>
            <w:r>
              <w:t>0 for GCSE (Edexcel)</w:t>
            </w:r>
          </w:p>
          <w:p w14:paraId="266BFDD0" w14:textId="2CECC336" w:rsidR="00D04511" w:rsidRDefault="0A6D3B5C">
            <w:pPr>
              <w:jc w:val="center"/>
            </w:pPr>
            <w:r>
              <w:t>£4</w:t>
            </w:r>
            <w:r w:rsidR="58E55DD8">
              <w:t>8</w:t>
            </w:r>
            <w:r>
              <w:t>.</w:t>
            </w:r>
            <w:r w:rsidR="173987A4">
              <w:t>65</w:t>
            </w:r>
            <w:r>
              <w:t xml:space="preserve"> for A Level (AQA)</w:t>
            </w:r>
          </w:p>
          <w:p w14:paraId="00B99350" w14:textId="786580D6" w:rsidR="00D04511" w:rsidRDefault="0A6D3B5C">
            <w:pPr>
              <w:jc w:val="center"/>
            </w:pPr>
            <w:r>
              <w:t>£5</w:t>
            </w:r>
            <w:r w:rsidR="0D8FD1ED">
              <w:t>4</w:t>
            </w:r>
            <w:r>
              <w:t>.</w:t>
            </w:r>
            <w:r w:rsidR="10E3E527">
              <w:t>3</w:t>
            </w:r>
            <w:r>
              <w:t>0 for A Level (Edexcel)</w:t>
            </w:r>
          </w:p>
          <w:p w14:paraId="6B699379" w14:textId="77777777" w:rsidR="00D04511" w:rsidRDefault="00D04511">
            <w:pPr>
              <w:jc w:val="center"/>
            </w:pPr>
          </w:p>
          <w:p w14:paraId="3FE9F23F" w14:textId="77777777" w:rsidR="00D04511" w:rsidRDefault="00D04511">
            <w:pPr>
              <w:jc w:val="center"/>
            </w:pPr>
          </w:p>
          <w:p w14:paraId="5418B231" w14:textId="77777777" w:rsidR="00D04511" w:rsidRDefault="00000000">
            <w:pPr>
              <w:jc w:val="center"/>
              <w:rPr>
                <w:b/>
                <w:u w:val="single"/>
              </w:rPr>
            </w:pPr>
            <w:r>
              <w:rPr>
                <w:b/>
                <w:u w:val="single"/>
              </w:rPr>
              <w:t>Return of Original Marked Script</w:t>
            </w:r>
          </w:p>
          <w:p w14:paraId="4AB78A3F" w14:textId="77777777" w:rsidR="00D04511" w:rsidRDefault="00000000">
            <w:pPr>
              <w:jc w:val="center"/>
            </w:pPr>
            <w:r>
              <w:t>Free – (AQA &amp; Edexcel) please note that once an original script has been requested, no post-results services can be applied.</w:t>
            </w:r>
          </w:p>
          <w:p w14:paraId="1F72F646" w14:textId="77777777" w:rsidR="00D04511" w:rsidRDefault="00D04511">
            <w:pPr>
              <w:jc w:val="center"/>
            </w:pPr>
          </w:p>
          <w:p w14:paraId="719A4CB0" w14:textId="77777777" w:rsidR="00D04511" w:rsidRDefault="00000000">
            <w:pPr>
              <w:jc w:val="center"/>
              <w:rPr>
                <w:b/>
                <w:u w:val="single"/>
              </w:rPr>
            </w:pPr>
            <w:r>
              <w:rPr>
                <w:b/>
                <w:u w:val="single"/>
              </w:rPr>
              <w:t>Return of post-review of marking script</w:t>
            </w:r>
          </w:p>
          <w:p w14:paraId="4E652C64" w14:textId="402D53D0" w:rsidR="00D04511" w:rsidRDefault="0A6D3B5C">
            <w:pPr>
              <w:jc w:val="center"/>
            </w:pPr>
            <w:r>
              <w:t>Offered by Edexcel - £1</w:t>
            </w:r>
            <w:r w:rsidR="363CBD04">
              <w:t>4</w:t>
            </w:r>
            <w:r>
              <w:t>.</w:t>
            </w:r>
            <w:r w:rsidR="57A6EF8F">
              <w:t>5</w:t>
            </w:r>
            <w:r>
              <w:t>0 per paper</w:t>
            </w:r>
          </w:p>
          <w:p w14:paraId="08CE6F91" w14:textId="77777777" w:rsidR="00D04511" w:rsidRDefault="00D04511">
            <w:pPr>
              <w:jc w:val="center"/>
            </w:pPr>
          </w:p>
          <w:p w14:paraId="36D7208C" w14:textId="77777777" w:rsidR="00D04511" w:rsidRDefault="00000000">
            <w:pPr>
              <w:jc w:val="center"/>
              <w:rPr>
                <w:b/>
                <w:u w:val="single"/>
              </w:rPr>
            </w:pPr>
            <w:r>
              <w:rPr>
                <w:b/>
                <w:u w:val="single"/>
              </w:rPr>
              <w:t>Appeals</w:t>
            </w:r>
          </w:p>
          <w:p w14:paraId="31CE08F5" w14:textId="080156B4" w:rsidR="00D04511" w:rsidRDefault="0A6D3B5C">
            <w:pPr>
              <w:jc w:val="center"/>
            </w:pPr>
            <w:r>
              <w:t>Stage 1 (£1</w:t>
            </w:r>
            <w:r w:rsidR="6963E133">
              <w:t>24</w:t>
            </w:r>
            <w:r>
              <w:t>.</w:t>
            </w:r>
            <w:r w:rsidR="0F517BF8">
              <w:t>90</w:t>
            </w:r>
            <w:r>
              <w:t>) AQA</w:t>
            </w:r>
          </w:p>
          <w:p w14:paraId="649D3314" w14:textId="752B5083" w:rsidR="00D04511" w:rsidRDefault="0A6D3B5C">
            <w:pPr>
              <w:jc w:val="center"/>
            </w:pPr>
            <w:r>
              <w:t>Stage 2 (£2</w:t>
            </w:r>
            <w:r w:rsidR="0888BBCB">
              <w:t>14</w:t>
            </w:r>
            <w:r>
              <w:t>.</w:t>
            </w:r>
            <w:r w:rsidR="1EFD19F6">
              <w:t>05</w:t>
            </w:r>
            <w:r>
              <w:t>) AQA</w:t>
            </w:r>
          </w:p>
          <w:p w14:paraId="29D6B04F" w14:textId="77777777" w:rsidR="00D04511" w:rsidRDefault="00000000">
            <w:pPr>
              <w:jc w:val="center"/>
            </w:pPr>
            <w:r>
              <w:t xml:space="preserve"> </w:t>
            </w:r>
          </w:p>
          <w:p w14:paraId="61CDCEAD" w14:textId="77777777" w:rsidR="00D04511" w:rsidRDefault="00D04511">
            <w:pPr>
              <w:jc w:val="center"/>
            </w:pPr>
          </w:p>
          <w:p w14:paraId="6BB9E253" w14:textId="77777777" w:rsidR="00D04511" w:rsidRDefault="00D04511">
            <w:pPr>
              <w:jc w:val="center"/>
            </w:pPr>
          </w:p>
          <w:p w14:paraId="23DE523C" w14:textId="77777777" w:rsidR="00D04511" w:rsidRDefault="00D04511">
            <w:pPr>
              <w:jc w:val="center"/>
            </w:pPr>
          </w:p>
        </w:tc>
      </w:tr>
    </w:tbl>
    <w:p w14:paraId="52E56223" w14:textId="77777777" w:rsidR="00D04511" w:rsidRDefault="00D04511"/>
    <w:p w14:paraId="6F53ADCF" w14:textId="26766996" w:rsidR="0A6D3B5C" w:rsidRDefault="0A6D3B5C" w:rsidP="0A6D3B5C">
      <w:pPr>
        <w:rPr>
          <w:b/>
          <w:bCs/>
          <w:color w:val="0070C0"/>
          <w:sz w:val="36"/>
          <w:szCs w:val="36"/>
        </w:rPr>
      </w:pPr>
    </w:p>
    <w:p w14:paraId="397564DD" w14:textId="77777777" w:rsidR="00D04511" w:rsidRDefault="00000000">
      <w:pPr>
        <w:rPr>
          <w:b/>
          <w:color w:val="0070C0"/>
          <w:sz w:val="36"/>
        </w:rPr>
      </w:pPr>
      <w:r>
        <w:rPr>
          <w:b/>
          <w:color w:val="0070C0"/>
          <w:sz w:val="36"/>
        </w:rPr>
        <w:t>Appendix Two: HPS – Review of Results Appeal Form</w:t>
      </w:r>
    </w:p>
    <w:p w14:paraId="510D0552" w14:textId="77777777" w:rsidR="00D04511" w:rsidRDefault="00000000">
      <w:pPr>
        <w:jc w:val="both"/>
        <w:rPr>
          <w:rFonts w:ascii="Corbel" w:hAnsi="Corbel"/>
        </w:rPr>
      </w:pPr>
      <w:r>
        <w:rPr>
          <w:rFonts w:ascii="Corbel" w:hAnsi="Corbel"/>
        </w:rPr>
        <w:t>This form should be completed to Appeal against: The centre’s decision not to support a Review of Results (</w:t>
      </w:r>
      <w:proofErr w:type="spellStart"/>
      <w:r>
        <w:rPr>
          <w:rFonts w:ascii="Corbel" w:hAnsi="Corbel"/>
        </w:rPr>
        <w:t>RoR</w:t>
      </w:r>
      <w:proofErr w:type="spellEnd"/>
      <w:r>
        <w:rPr>
          <w:rFonts w:ascii="Corbel" w:hAnsi="Corbel"/>
        </w:rPr>
        <w:t>) or an appeal regarding the outcome of a Review of Results (</w:t>
      </w:r>
      <w:proofErr w:type="spellStart"/>
      <w:r>
        <w:rPr>
          <w:rFonts w:ascii="Corbel" w:hAnsi="Corbel"/>
        </w:rPr>
        <w:t>RoR</w:t>
      </w:r>
      <w:proofErr w:type="spellEnd"/>
      <w:r>
        <w:rPr>
          <w:rFonts w:ascii="Corbel" w:hAnsi="Corbel"/>
        </w:rPr>
        <w:t>).</w:t>
      </w:r>
    </w:p>
    <w:p w14:paraId="4D7FC0B6" w14:textId="77777777" w:rsidR="00D04511" w:rsidRDefault="00000000">
      <w:pPr>
        <w:jc w:val="both"/>
        <w:rPr>
          <w:rFonts w:ascii="Corbel" w:hAnsi="Corbel"/>
        </w:rPr>
      </w:pPr>
      <w:r>
        <w:rPr>
          <w:rFonts w:ascii="Corbel" w:hAnsi="Corbel"/>
        </w:rPr>
        <w:t xml:space="preserve">This form must be submitted at least 1 week in advance of the internal deadline for </w:t>
      </w:r>
      <w:proofErr w:type="spellStart"/>
      <w:r>
        <w:rPr>
          <w:rFonts w:ascii="Corbel" w:hAnsi="Corbel"/>
        </w:rPr>
        <w:t>RoR</w:t>
      </w:r>
      <w:proofErr w:type="spellEnd"/>
      <w:r>
        <w:rPr>
          <w:rFonts w:ascii="Corbel" w:hAnsi="Corbel"/>
        </w:rPr>
        <w:t xml:space="preserve"> requests </w:t>
      </w:r>
      <w:proofErr w:type="gramStart"/>
      <w:r>
        <w:rPr>
          <w:rFonts w:ascii="Corbel" w:hAnsi="Corbel"/>
        </w:rPr>
        <w:t>in order to</w:t>
      </w:r>
      <w:proofErr w:type="gramEnd"/>
      <w:r>
        <w:rPr>
          <w:rFonts w:ascii="Corbel" w:hAnsi="Corbel"/>
        </w:rPr>
        <w:t xml:space="preserve"> be considered by the centre. Failure to meet this deadline will result in the appeal not being considered.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62"/>
      </w:tblGrid>
      <w:tr w:rsidR="00D04511" w14:paraId="403E6338" w14:textId="77777777">
        <w:tc>
          <w:tcPr>
            <w:tcW w:w="2660" w:type="dxa"/>
            <w:shd w:val="clear" w:color="auto" w:fill="BDD6EE"/>
          </w:tcPr>
          <w:p w14:paraId="3E051582" w14:textId="77777777" w:rsidR="00D04511" w:rsidRDefault="00000000">
            <w:pPr>
              <w:jc w:val="both"/>
              <w:rPr>
                <w:rFonts w:ascii="Corbel" w:hAnsi="Corbel" w:cs="Arial"/>
                <w:b/>
              </w:rPr>
            </w:pPr>
            <w:r>
              <w:rPr>
                <w:rFonts w:ascii="Corbel" w:hAnsi="Corbel" w:cs="Arial"/>
                <w:b/>
              </w:rPr>
              <w:t>NAME</w:t>
            </w:r>
          </w:p>
        </w:tc>
        <w:tc>
          <w:tcPr>
            <w:tcW w:w="5862" w:type="dxa"/>
          </w:tcPr>
          <w:p w14:paraId="07547A01" w14:textId="77777777" w:rsidR="00D04511" w:rsidRDefault="00D04511">
            <w:pPr>
              <w:jc w:val="both"/>
              <w:rPr>
                <w:rFonts w:ascii="Corbel" w:hAnsi="Corbel" w:cs="Arial"/>
              </w:rPr>
            </w:pPr>
          </w:p>
        </w:tc>
      </w:tr>
      <w:tr w:rsidR="00D04511" w14:paraId="00D30692" w14:textId="77777777">
        <w:tc>
          <w:tcPr>
            <w:tcW w:w="2660" w:type="dxa"/>
            <w:shd w:val="clear" w:color="auto" w:fill="BDD6EE"/>
          </w:tcPr>
          <w:p w14:paraId="16B74157" w14:textId="77777777" w:rsidR="00D04511" w:rsidRDefault="00000000">
            <w:pPr>
              <w:jc w:val="both"/>
              <w:rPr>
                <w:rFonts w:ascii="Corbel" w:hAnsi="Corbel" w:cs="Arial"/>
                <w:b/>
              </w:rPr>
            </w:pPr>
            <w:r>
              <w:rPr>
                <w:rFonts w:ascii="Corbel" w:hAnsi="Corbel" w:cs="Arial"/>
                <w:b/>
              </w:rPr>
              <w:t xml:space="preserve">CANDIDATE NUMBER </w:t>
            </w:r>
          </w:p>
        </w:tc>
        <w:tc>
          <w:tcPr>
            <w:tcW w:w="5862" w:type="dxa"/>
          </w:tcPr>
          <w:p w14:paraId="5043CB0F" w14:textId="77777777" w:rsidR="00D04511" w:rsidRDefault="00D04511">
            <w:pPr>
              <w:jc w:val="both"/>
              <w:rPr>
                <w:rFonts w:ascii="Corbel" w:hAnsi="Corbel" w:cs="Arial"/>
              </w:rPr>
            </w:pPr>
          </w:p>
        </w:tc>
      </w:tr>
      <w:tr w:rsidR="00D04511" w14:paraId="4FF29871" w14:textId="77777777">
        <w:tc>
          <w:tcPr>
            <w:tcW w:w="2660" w:type="dxa"/>
            <w:shd w:val="clear" w:color="auto" w:fill="BDD6EE"/>
          </w:tcPr>
          <w:p w14:paraId="632459D7" w14:textId="77777777" w:rsidR="00D04511" w:rsidRDefault="00000000">
            <w:pPr>
              <w:jc w:val="both"/>
              <w:rPr>
                <w:rFonts w:ascii="Corbel" w:hAnsi="Corbel" w:cs="Arial"/>
                <w:b/>
              </w:rPr>
            </w:pPr>
            <w:r>
              <w:rPr>
                <w:rFonts w:ascii="Corbel" w:hAnsi="Corbel" w:cs="Arial"/>
                <w:b/>
              </w:rPr>
              <w:t>AWARDING BODY</w:t>
            </w:r>
          </w:p>
        </w:tc>
        <w:tc>
          <w:tcPr>
            <w:tcW w:w="5862" w:type="dxa"/>
          </w:tcPr>
          <w:p w14:paraId="07459315" w14:textId="77777777" w:rsidR="00D04511" w:rsidRDefault="00D04511">
            <w:pPr>
              <w:jc w:val="both"/>
              <w:rPr>
                <w:rFonts w:ascii="Corbel" w:hAnsi="Corbel" w:cs="Arial"/>
              </w:rPr>
            </w:pPr>
          </w:p>
        </w:tc>
      </w:tr>
      <w:tr w:rsidR="00D04511" w14:paraId="5BAA08B8" w14:textId="77777777">
        <w:tc>
          <w:tcPr>
            <w:tcW w:w="2660" w:type="dxa"/>
            <w:shd w:val="clear" w:color="auto" w:fill="BDD6EE"/>
          </w:tcPr>
          <w:p w14:paraId="01484D13" w14:textId="77777777" w:rsidR="00D04511" w:rsidRDefault="00000000">
            <w:pPr>
              <w:jc w:val="both"/>
              <w:rPr>
                <w:rFonts w:ascii="Corbel" w:hAnsi="Corbel" w:cs="Arial"/>
                <w:b/>
              </w:rPr>
            </w:pPr>
            <w:r>
              <w:rPr>
                <w:rFonts w:ascii="Corbel" w:hAnsi="Corbel" w:cs="Arial"/>
                <w:b/>
              </w:rPr>
              <w:t>EXAM PAPER CODE</w:t>
            </w:r>
          </w:p>
        </w:tc>
        <w:tc>
          <w:tcPr>
            <w:tcW w:w="5862" w:type="dxa"/>
          </w:tcPr>
          <w:p w14:paraId="6537F28F" w14:textId="77777777" w:rsidR="00D04511" w:rsidRDefault="00D04511">
            <w:pPr>
              <w:jc w:val="both"/>
              <w:rPr>
                <w:rFonts w:ascii="Corbel" w:hAnsi="Corbel" w:cs="Arial"/>
              </w:rPr>
            </w:pPr>
          </w:p>
        </w:tc>
      </w:tr>
      <w:tr w:rsidR="00D04511" w14:paraId="4B844E8A" w14:textId="77777777">
        <w:tc>
          <w:tcPr>
            <w:tcW w:w="2660" w:type="dxa"/>
            <w:shd w:val="clear" w:color="auto" w:fill="BDD6EE"/>
          </w:tcPr>
          <w:p w14:paraId="0F2D6665" w14:textId="77777777" w:rsidR="00D04511" w:rsidRDefault="00000000">
            <w:pPr>
              <w:jc w:val="both"/>
              <w:rPr>
                <w:rFonts w:ascii="Corbel" w:hAnsi="Corbel" w:cs="Arial"/>
                <w:b/>
              </w:rPr>
            </w:pPr>
            <w:r>
              <w:rPr>
                <w:rFonts w:ascii="Corbel" w:hAnsi="Corbel" w:cs="Arial"/>
                <w:b/>
              </w:rPr>
              <w:t xml:space="preserve">SUBJECT </w:t>
            </w:r>
          </w:p>
        </w:tc>
        <w:tc>
          <w:tcPr>
            <w:tcW w:w="5862" w:type="dxa"/>
          </w:tcPr>
          <w:p w14:paraId="6DFB9E20" w14:textId="77777777" w:rsidR="00D04511" w:rsidRDefault="00D04511">
            <w:pPr>
              <w:jc w:val="both"/>
              <w:rPr>
                <w:rFonts w:ascii="Corbel" w:hAnsi="Corbel" w:cs="Arial"/>
              </w:rPr>
            </w:pPr>
          </w:p>
        </w:tc>
      </w:tr>
      <w:tr w:rsidR="00D04511" w14:paraId="39931646" w14:textId="77777777">
        <w:tc>
          <w:tcPr>
            <w:tcW w:w="2660" w:type="dxa"/>
            <w:shd w:val="clear" w:color="auto" w:fill="BDD6EE"/>
          </w:tcPr>
          <w:p w14:paraId="22E9D6D9" w14:textId="77777777" w:rsidR="00D04511" w:rsidRDefault="00000000">
            <w:pPr>
              <w:jc w:val="both"/>
              <w:rPr>
                <w:rFonts w:ascii="Corbel" w:hAnsi="Corbel" w:cs="Arial"/>
                <w:b/>
              </w:rPr>
            </w:pPr>
            <w:r>
              <w:rPr>
                <w:rFonts w:ascii="Corbel" w:hAnsi="Corbel" w:cs="Arial"/>
                <w:b/>
              </w:rPr>
              <w:t>EXAM PAPER TITLE</w:t>
            </w:r>
          </w:p>
        </w:tc>
        <w:tc>
          <w:tcPr>
            <w:tcW w:w="5862" w:type="dxa"/>
          </w:tcPr>
          <w:p w14:paraId="70DF9E56" w14:textId="77777777" w:rsidR="00D04511" w:rsidRDefault="00D04511">
            <w:pPr>
              <w:jc w:val="both"/>
              <w:rPr>
                <w:rFonts w:ascii="Corbel" w:hAnsi="Corbel" w:cs="Arial"/>
              </w:rPr>
            </w:pPr>
          </w:p>
        </w:tc>
      </w:tr>
    </w:tbl>
    <w:p w14:paraId="44E871BC" w14:textId="77777777" w:rsidR="00D04511" w:rsidRDefault="00D04511">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D04511" w14:paraId="353F06EC" w14:textId="77777777">
        <w:tc>
          <w:tcPr>
            <w:tcW w:w="8522" w:type="dxa"/>
            <w:shd w:val="clear" w:color="auto" w:fill="BDD6EE"/>
          </w:tcPr>
          <w:p w14:paraId="7C5A041C" w14:textId="77777777" w:rsidR="00D04511" w:rsidRDefault="00000000">
            <w:pPr>
              <w:jc w:val="center"/>
              <w:rPr>
                <w:rFonts w:ascii="Corbel" w:hAnsi="Corbel" w:cs="Arial"/>
              </w:rPr>
            </w:pPr>
            <w:r>
              <w:rPr>
                <w:rFonts w:ascii="Corbel" w:hAnsi="Corbel" w:cs="Arial"/>
              </w:rPr>
              <w:t xml:space="preserve">Please state your grounds for appeal below, </w:t>
            </w:r>
            <w:proofErr w:type="gramStart"/>
            <w:r>
              <w:rPr>
                <w:rFonts w:ascii="Corbel" w:hAnsi="Corbel" w:cs="Arial"/>
              </w:rPr>
              <w:t>continue on</w:t>
            </w:r>
            <w:proofErr w:type="gramEnd"/>
            <w:r>
              <w:rPr>
                <w:rFonts w:ascii="Corbel" w:hAnsi="Corbel" w:cs="Arial"/>
              </w:rPr>
              <w:t xml:space="preserve"> additional paper as necessary. </w:t>
            </w:r>
          </w:p>
        </w:tc>
      </w:tr>
      <w:tr w:rsidR="00D04511" w14:paraId="144A5D23" w14:textId="77777777">
        <w:tc>
          <w:tcPr>
            <w:tcW w:w="8522" w:type="dxa"/>
          </w:tcPr>
          <w:p w14:paraId="738610EB" w14:textId="77777777" w:rsidR="00D04511" w:rsidRDefault="00D04511">
            <w:pPr>
              <w:jc w:val="both"/>
              <w:rPr>
                <w:rFonts w:ascii="Corbel" w:hAnsi="Corbel" w:cs="Arial"/>
              </w:rPr>
            </w:pPr>
          </w:p>
          <w:p w14:paraId="637805D2" w14:textId="77777777" w:rsidR="00D04511" w:rsidRDefault="00D04511">
            <w:pPr>
              <w:jc w:val="both"/>
              <w:rPr>
                <w:rFonts w:ascii="Corbel" w:hAnsi="Corbel" w:cs="Arial"/>
              </w:rPr>
            </w:pPr>
          </w:p>
          <w:p w14:paraId="463F29E8" w14:textId="77777777" w:rsidR="00D04511" w:rsidRDefault="00D04511">
            <w:pPr>
              <w:jc w:val="both"/>
              <w:rPr>
                <w:rFonts w:ascii="Corbel" w:hAnsi="Corbel" w:cs="Arial"/>
              </w:rPr>
            </w:pPr>
          </w:p>
          <w:p w14:paraId="3B7B4B86" w14:textId="77777777" w:rsidR="00D04511" w:rsidRDefault="00D04511">
            <w:pPr>
              <w:jc w:val="both"/>
              <w:rPr>
                <w:rFonts w:ascii="Corbel" w:hAnsi="Corbel" w:cs="Arial"/>
              </w:rPr>
            </w:pPr>
          </w:p>
          <w:p w14:paraId="3A0FF5F2" w14:textId="77777777" w:rsidR="00D04511" w:rsidRDefault="00D04511">
            <w:pPr>
              <w:jc w:val="both"/>
              <w:rPr>
                <w:rFonts w:ascii="Corbel" w:hAnsi="Corbel" w:cs="Arial"/>
              </w:rPr>
            </w:pPr>
          </w:p>
          <w:p w14:paraId="5630AD66" w14:textId="77777777" w:rsidR="00D04511" w:rsidRDefault="00D04511">
            <w:pPr>
              <w:jc w:val="both"/>
              <w:rPr>
                <w:rFonts w:ascii="Corbel" w:hAnsi="Corbel" w:cs="Arial"/>
              </w:rPr>
            </w:pPr>
          </w:p>
          <w:p w14:paraId="61829076" w14:textId="77777777" w:rsidR="00D04511" w:rsidRDefault="00D04511">
            <w:pPr>
              <w:jc w:val="both"/>
              <w:rPr>
                <w:rFonts w:ascii="Corbel" w:hAnsi="Corbel" w:cs="Arial"/>
              </w:rPr>
            </w:pPr>
          </w:p>
        </w:tc>
      </w:tr>
    </w:tbl>
    <w:p w14:paraId="2BA226A1" w14:textId="77777777" w:rsidR="00D04511" w:rsidRDefault="00D04511">
      <w:pPr>
        <w:rPr>
          <w:rFonts w:ascii="Corbel" w:hAnsi="Corbe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62"/>
      </w:tblGrid>
      <w:tr w:rsidR="00D04511" w14:paraId="36C49DAD" w14:textId="77777777">
        <w:tc>
          <w:tcPr>
            <w:tcW w:w="2660" w:type="dxa"/>
            <w:shd w:val="clear" w:color="auto" w:fill="BDD6EE"/>
          </w:tcPr>
          <w:p w14:paraId="3C4C55FB" w14:textId="77777777" w:rsidR="00D04511" w:rsidRDefault="00000000">
            <w:pPr>
              <w:jc w:val="both"/>
              <w:rPr>
                <w:rFonts w:ascii="Corbel" w:hAnsi="Corbel" w:cs="Arial"/>
              </w:rPr>
            </w:pPr>
            <w:proofErr w:type="gramStart"/>
            <w:r>
              <w:rPr>
                <w:rFonts w:ascii="Corbel" w:hAnsi="Corbel" w:cs="Arial"/>
              </w:rPr>
              <w:t>Signed  (</w:t>
            </w:r>
            <w:proofErr w:type="gramEnd"/>
            <w:r>
              <w:rPr>
                <w:rFonts w:ascii="Corbel" w:hAnsi="Corbel" w:cs="Arial"/>
              </w:rPr>
              <w:t>Candidate)</w:t>
            </w:r>
          </w:p>
        </w:tc>
        <w:tc>
          <w:tcPr>
            <w:tcW w:w="5862" w:type="dxa"/>
          </w:tcPr>
          <w:p w14:paraId="17AD93B2" w14:textId="77777777" w:rsidR="00D04511" w:rsidRDefault="00D04511">
            <w:pPr>
              <w:jc w:val="both"/>
              <w:rPr>
                <w:rFonts w:ascii="Corbel" w:hAnsi="Corbel" w:cs="Arial"/>
              </w:rPr>
            </w:pPr>
          </w:p>
        </w:tc>
      </w:tr>
      <w:tr w:rsidR="00D04511" w14:paraId="2CBE40DE" w14:textId="77777777">
        <w:tc>
          <w:tcPr>
            <w:tcW w:w="2660" w:type="dxa"/>
            <w:shd w:val="clear" w:color="auto" w:fill="BDD6EE"/>
          </w:tcPr>
          <w:p w14:paraId="10CDA254" w14:textId="77777777" w:rsidR="00D04511" w:rsidRDefault="00000000">
            <w:pPr>
              <w:jc w:val="both"/>
              <w:rPr>
                <w:rFonts w:ascii="Corbel" w:hAnsi="Corbel" w:cs="Arial"/>
              </w:rPr>
            </w:pPr>
            <w:r>
              <w:rPr>
                <w:rFonts w:ascii="Corbel" w:hAnsi="Corbel" w:cs="Arial"/>
              </w:rPr>
              <w:t xml:space="preserve">Date </w:t>
            </w:r>
          </w:p>
        </w:tc>
        <w:tc>
          <w:tcPr>
            <w:tcW w:w="5862" w:type="dxa"/>
          </w:tcPr>
          <w:p w14:paraId="0DE4B5B7" w14:textId="77777777" w:rsidR="00D04511" w:rsidRDefault="00D04511">
            <w:pPr>
              <w:jc w:val="both"/>
              <w:rPr>
                <w:rFonts w:ascii="Corbel" w:hAnsi="Corbel" w:cs="Arial"/>
              </w:rPr>
            </w:pPr>
          </w:p>
        </w:tc>
      </w:tr>
    </w:tbl>
    <w:p w14:paraId="2AE47944" w14:textId="77777777" w:rsidR="00D04511" w:rsidRDefault="00000000">
      <w:pPr>
        <w:rPr>
          <w:rFonts w:ascii="Corbel" w:hAnsi="Corbel"/>
        </w:rPr>
      </w:pPr>
      <w:r>
        <w:rPr>
          <w:rFonts w:ascii="Corbel" w:hAnsi="Corbel"/>
        </w:rPr>
        <w:t>_</w:t>
      </w:r>
      <w:r>
        <w:rPr>
          <w:rFonts w:ascii="Corbel" w:hAnsi="Corbel"/>
          <w:b/>
        </w:rPr>
        <w:t>___________________________________________________________________</w:t>
      </w:r>
      <w:r>
        <w:rPr>
          <w:rFonts w:ascii="Corbel" w:hAnsi="Corbel"/>
        </w:rPr>
        <w:t>__</w:t>
      </w:r>
    </w:p>
    <w:p w14:paraId="669CDCD5" w14:textId="77777777" w:rsidR="00D04511" w:rsidRDefault="00000000">
      <w:pPr>
        <w:jc w:val="center"/>
        <w:rPr>
          <w:rFonts w:ascii="Corbel" w:hAnsi="Corbel" w:cs="Arial"/>
          <w:b/>
        </w:rPr>
      </w:pPr>
      <w:r>
        <w:rPr>
          <w:rFonts w:ascii="Corbel" w:hAnsi="Corbel" w:cs="Arial"/>
          <w:b/>
        </w:rPr>
        <w:t>FOR CENTRE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117"/>
      </w:tblGrid>
      <w:tr w:rsidR="00D04511" w14:paraId="78A78BB6" w14:textId="77777777">
        <w:tc>
          <w:tcPr>
            <w:tcW w:w="2405" w:type="dxa"/>
            <w:shd w:val="clear" w:color="auto" w:fill="002060"/>
          </w:tcPr>
          <w:p w14:paraId="55DACAA5" w14:textId="77777777" w:rsidR="00D04511" w:rsidRDefault="00000000">
            <w:pPr>
              <w:jc w:val="both"/>
              <w:rPr>
                <w:rFonts w:ascii="Corbel" w:hAnsi="Corbel" w:cs="Arial"/>
              </w:rPr>
            </w:pPr>
            <w:r>
              <w:rPr>
                <w:rFonts w:ascii="Corbel" w:hAnsi="Corbel" w:cs="Arial"/>
              </w:rPr>
              <w:t xml:space="preserve">Request assessed by </w:t>
            </w:r>
          </w:p>
        </w:tc>
        <w:tc>
          <w:tcPr>
            <w:tcW w:w="6117" w:type="dxa"/>
          </w:tcPr>
          <w:p w14:paraId="66204FF1" w14:textId="77777777" w:rsidR="00D04511" w:rsidRDefault="00D04511">
            <w:pPr>
              <w:jc w:val="both"/>
              <w:rPr>
                <w:rFonts w:ascii="Corbel" w:hAnsi="Corbel" w:cs="Arial"/>
              </w:rPr>
            </w:pPr>
          </w:p>
        </w:tc>
      </w:tr>
      <w:tr w:rsidR="00D04511" w14:paraId="27EE85F3" w14:textId="77777777">
        <w:tc>
          <w:tcPr>
            <w:tcW w:w="2405" w:type="dxa"/>
            <w:shd w:val="clear" w:color="auto" w:fill="002060"/>
          </w:tcPr>
          <w:p w14:paraId="3A29BF3B" w14:textId="77777777" w:rsidR="00D04511" w:rsidRDefault="00000000">
            <w:pPr>
              <w:jc w:val="both"/>
              <w:rPr>
                <w:rFonts w:ascii="Corbel" w:hAnsi="Corbel" w:cs="Arial"/>
              </w:rPr>
            </w:pPr>
            <w:r>
              <w:rPr>
                <w:rFonts w:ascii="Corbel" w:hAnsi="Corbel" w:cs="Arial"/>
              </w:rPr>
              <w:t>Date Received</w:t>
            </w:r>
          </w:p>
        </w:tc>
        <w:tc>
          <w:tcPr>
            <w:tcW w:w="6117" w:type="dxa"/>
          </w:tcPr>
          <w:p w14:paraId="2DBF0D7D" w14:textId="77777777" w:rsidR="00D04511" w:rsidRDefault="00D04511">
            <w:pPr>
              <w:jc w:val="both"/>
              <w:rPr>
                <w:rFonts w:ascii="Corbel" w:hAnsi="Corbel" w:cs="Arial"/>
              </w:rPr>
            </w:pPr>
          </w:p>
        </w:tc>
      </w:tr>
      <w:tr w:rsidR="00D04511" w14:paraId="0981A464" w14:textId="77777777">
        <w:tc>
          <w:tcPr>
            <w:tcW w:w="2405" w:type="dxa"/>
            <w:shd w:val="clear" w:color="auto" w:fill="002060"/>
          </w:tcPr>
          <w:p w14:paraId="59491D9B" w14:textId="77777777" w:rsidR="00D04511" w:rsidRDefault="00000000">
            <w:pPr>
              <w:jc w:val="both"/>
              <w:rPr>
                <w:rFonts w:ascii="Corbel" w:hAnsi="Corbel" w:cs="Arial"/>
              </w:rPr>
            </w:pPr>
            <w:r>
              <w:rPr>
                <w:rFonts w:ascii="Corbel" w:hAnsi="Corbel" w:cs="Arial"/>
              </w:rPr>
              <w:lastRenderedPageBreak/>
              <w:t>Reference Number</w:t>
            </w:r>
          </w:p>
        </w:tc>
        <w:tc>
          <w:tcPr>
            <w:tcW w:w="6117" w:type="dxa"/>
          </w:tcPr>
          <w:p w14:paraId="6B62F1B3" w14:textId="77777777" w:rsidR="00D04511" w:rsidRDefault="00D04511">
            <w:pPr>
              <w:jc w:val="both"/>
              <w:rPr>
                <w:rFonts w:ascii="Corbel" w:hAnsi="Corbel" w:cs="Arial"/>
              </w:rPr>
            </w:pPr>
          </w:p>
        </w:tc>
      </w:tr>
    </w:tbl>
    <w:p w14:paraId="02F2C34E" w14:textId="77777777" w:rsidR="00D04511" w:rsidRDefault="00D04511">
      <w:pPr>
        <w:rPr>
          <w:rFonts w:ascii="Corbel" w:hAnsi="Corbel"/>
        </w:rPr>
      </w:pPr>
    </w:p>
    <w:p w14:paraId="680A4E5D" w14:textId="77777777" w:rsidR="00D04511" w:rsidRDefault="00D04511">
      <w:pPr>
        <w:rPr>
          <w:b/>
          <w:color w:val="0070C0"/>
          <w:sz w:val="40"/>
        </w:rPr>
      </w:pPr>
    </w:p>
    <w:p w14:paraId="081B44A8" w14:textId="77777777" w:rsidR="00D04511" w:rsidRDefault="00000000">
      <w:pPr>
        <w:jc w:val="both"/>
        <w:rPr>
          <w:rFonts w:ascii="Corbel" w:hAnsi="Corbel"/>
          <w:b/>
          <w:color w:val="0070C0"/>
          <w:sz w:val="28"/>
        </w:rPr>
      </w:pPr>
      <w:r>
        <w:rPr>
          <w:rFonts w:ascii="Corbel" w:hAnsi="Corbel"/>
          <w:b/>
          <w:color w:val="0070C0"/>
          <w:sz w:val="28"/>
        </w:rPr>
        <w:t>Appendix Three: Holland Park School – Examination Complaints and Appeal Log</w:t>
      </w:r>
    </w:p>
    <w:tbl>
      <w:tblPr>
        <w:tblpPr w:leftFromText="180" w:rightFromText="180" w:vertAnchor="page" w:horzAnchor="margin" w:tblpY="2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D04511" w14:paraId="2DA38138" w14:textId="77777777">
        <w:tc>
          <w:tcPr>
            <w:tcW w:w="1704" w:type="dxa"/>
            <w:shd w:val="clear" w:color="auto" w:fill="BDD6EE"/>
          </w:tcPr>
          <w:p w14:paraId="5CD5652D" w14:textId="77777777" w:rsidR="00D04511" w:rsidRDefault="00000000">
            <w:pPr>
              <w:jc w:val="center"/>
              <w:rPr>
                <w:rFonts w:ascii="Corbel" w:hAnsi="Corbel"/>
                <w:b/>
              </w:rPr>
            </w:pPr>
            <w:r>
              <w:rPr>
                <w:rFonts w:ascii="Corbel" w:hAnsi="Corbel"/>
                <w:b/>
              </w:rPr>
              <w:lastRenderedPageBreak/>
              <w:t>Ref. No</w:t>
            </w:r>
          </w:p>
        </w:tc>
        <w:tc>
          <w:tcPr>
            <w:tcW w:w="1704" w:type="dxa"/>
            <w:shd w:val="clear" w:color="auto" w:fill="BDD6EE"/>
          </w:tcPr>
          <w:p w14:paraId="4313CB10" w14:textId="77777777" w:rsidR="00D04511" w:rsidRDefault="00000000">
            <w:pPr>
              <w:jc w:val="center"/>
              <w:rPr>
                <w:rFonts w:ascii="Corbel" w:hAnsi="Corbel"/>
                <w:b/>
              </w:rPr>
            </w:pPr>
            <w:r>
              <w:rPr>
                <w:rFonts w:ascii="Corbel" w:hAnsi="Corbel"/>
                <w:b/>
              </w:rPr>
              <w:t>Date Received</w:t>
            </w:r>
          </w:p>
        </w:tc>
        <w:tc>
          <w:tcPr>
            <w:tcW w:w="1704" w:type="dxa"/>
            <w:shd w:val="clear" w:color="auto" w:fill="BDD6EE"/>
          </w:tcPr>
          <w:p w14:paraId="613C596C" w14:textId="77777777" w:rsidR="00D04511" w:rsidRDefault="00000000">
            <w:pPr>
              <w:jc w:val="center"/>
              <w:rPr>
                <w:rFonts w:ascii="Corbel" w:hAnsi="Corbel"/>
                <w:b/>
              </w:rPr>
            </w:pPr>
            <w:r>
              <w:rPr>
                <w:rFonts w:ascii="Corbel" w:hAnsi="Corbel"/>
                <w:b/>
              </w:rPr>
              <w:t>Complaint or Appeal</w:t>
            </w:r>
          </w:p>
        </w:tc>
        <w:tc>
          <w:tcPr>
            <w:tcW w:w="1705" w:type="dxa"/>
            <w:shd w:val="clear" w:color="auto" w:fill="BDD6EE"/>
          </w:tcPr>
          <w:p w14:paraId="70DE9F48" w14:textId="77777777" w:rsidR="00D04511" w:rsidRDefault="00000000">
            <w:pPr>
              <w:jc w:val="center"/>
              <w:rPr>
                <w:rFonts w:ascii="Corbel" w:hAnsi="Corbel"/>
                <w:b/>
              </w:rPr>
            </w:pPr>
            <w:r>
              <w:rPr>
                <w:rFonts w:ascii="Corbel" w:hAnsi="Corbel"/>
                <w:b/>
              </w:rPr>
              <w:t>Outcome</w:t>
            </w:r>
          </w:p>
        </w:tc>
        <w:tc>
          <w:tcPr>
            <w:tcW w:w="1705" w:type="dxa"/>
            <w:shd w:val="clear" w:color="auto" w:fill="BDD6EE"/>
          </w:tcPr>
          <w:p w14:paraId="08E0FE2E" w14:textId="77777777" w:rsidR="00D04511" w:rsidRDefault="00000000">
            <w:pPr>
              <w:jc w:val="center"/>
              <w:rPr>
                <w:rFonts w:ascii="Corbel" w:hAnsi="Corbel"/>
                <w:b/>
              </w:rPr>
            </w:pPr>
            <w:r>
              <w:rPr>
                <w:rFonts w:ascii="Corbel" w:hAnsi="Corbel"/>
                <w:b/>
              </w:rPr>
              <w:t>Outcome Date</w:t>
            </w:r>
          </w:p>
        </w:tc>
      </w:tr>
      <w:tr w:rsidR="00D04511" w14:paraId="19219836" w14:textId="77777777">
        <w:tc>
          <w:tcPr>
            <w:tcW w:w="1704" w:type="dxa"/>
          </w:tcPr>
          <w:p w14:paraId="296FEF7D" w14:textId="77777777" w:rsidR="00D04511" w:rsidRDefault="00D04511">
            <w:pPr>
              <w:jc w:val="both"/>
              <w:rPr>
                <w:rFonts w:ascii="Corbel" w:hAnsi="Corbel"/>
                <w:b/>
              </w:rPr>
            </w:pPr>
          </w:p>
        </w:tc>
        <w:tc>
          <w:tcPr>
            <w:tcW w:w="1704" w:type="dxa"/>
          </w:tcPr>
          <w:p w14:paraId="7194DBDC" w14:textId="77777777" w:rsidR="00D04511" w:rsidRDefault="00D04511">
            <w:pPr>
              <w:jc w:val="both"/>
              <w:rPr>
                <w:rFonts w:ascii="Corbel" w:hAnsi="Corbel"/>
                <w:b/>
              </w:rPr>
            </w:pPr>
          </w:p>
          <w:p w14:paraId="769D0D3C" w14:textId="77777777" w:rsidR="00D04511" w:rsidRDefault="00D04511">
            <w:pPr>
              <w:jc w:val="both"/>
              <w:rPr>
                <w:rFonts w:ascii="Corbel" w:hAnsi="Corbel"/>
                <w:b/>
              </w:rPr>
            </w:pPr>
          </w:p>
        </w:tc>
        <w:tc>
          <w:tcPr>
            <w:tcW w:w="1704" w:type="dxa"/>
          </w:tcPr>
          <w:p w14:paraId="54CD245A" w14:textId="77777777" w:rsidR="00D04511" w:rsidRDefault="00D04511">
            <w:pPr>
              <w:jc w:val="both"/>
              <w:rPr>
                <w:rFonts w:ascii="Corbel" w:hAnsi="Corbel"/>
                <w:b/>
              </w:rPr>
            </w:pPr>
          </w:p>
        </w:tc>
        <w:tc>
          <w:tcPr>
            <w:tcW w:w="1705" w:type="dxa"/>
          </w:tcPr>
          <w:p w14:paraId="1231BE67" w14:textId="77777777" w:rsidR="00D04511" w:rsidRDefault="00D04511">
            <w:pPr>
              <w:jc w:val="both"/>
              <w:rPr>
                <w:rFonts w:ascii="Corbel" w:hAnsi="Corbel"/>
                <w:b/>
              </w:rPr>
            </w:pPr>
          </w:p>
        </w:tc>
        <w:tc>
          <w:tcPr>
            <w:tcW w:w="1705" w:type="dxa"/>
          </w:tcPr>
          <w:p w14:paraId="36FEB5B0" w14:textId="77777777" w:rsidR="00D04511" w:rsidRDefault="00D04511">
            <w:pPr>
              <w:jc w:val="both"/>
              <w:rPr>
                <w:rFonts w:ascii="Corbel" w:hAnsi="Corbel"/>
                <w:b/>
              </w:rPr>
            </w:pPr>
          </w:p>
        </w:tc>
      </w:tr>
      <w:tr w:rsidR="00D04511" w14:paraId="30D7AA69" w14:textId="77777777">
        <w:tc>
          <w:tcPr>
            <w:tcW w:w="1704" w:type="dxa"/>
          </w:tcPr>
          <w:p w14:paraId="7196D064" w14:textId="77777777" w:rsidR="00D04511" w:rsidRDefault="00D04511">
            <w:pPr>
              <w:jc w:val="both"/>
              <w:rPr>
                <w:rFonts w:ascii="Corbel" w:hAnsi="Corbel"/>
                <w:b/>
              </w:rPr>
            </w:pPr>
          </w:p>
        </w:tc>
        <w:tc>
          <w:tcPr>
            <w:tcW w:w="1704" w:type="dxa"/>
          </w:tcPr>
          <w:p w14:paraId="34FF1C98" w14:textId="77777777" w:rsidR="00D04511" w:rsidRDefault="00D04511">
            <w:pPr>
              <w:jc w:val="both"/>
              <w:rPr>
                <w:rFonts w:ascii="Corbel" w:hAnsi="Corbel"/>
                <w:b/>
              </w:rPr>
            </w:pPr>
          </w:p>
          <w:p w14:paraId="6D072C0D" w14:textId="77777777" w:rsidR="00D04511" w:rsidRDefault="00D04511">
            <w:pPr>
              <w:jc w:val="both"/>
              <w:rPr>
                <w:rFonts w:ascii="Corbel" w:hAnsi="Corbel"/>
                <w:b/>
              </w:rPr>
            </w:pPr>
          </w:p>
        </w:tc>
        <w:tc>
          <w:tcPr>
            <w:tcW w:w="1704" w:type="dxa"/>
          </w:tcPr>
          <w:p w14:paraId="48A21919" w14:textId="77777777" w:rsidR="00D04511" w:rsidRDefault="00D04511">
            <w:pPr>
              <w:jc w:val="both"/>
              <w:rPr>
                <w:rFonts w:ascii="Corbel" w:hAnsi="Corbel"/>
                <w:b/>
              </w:rPr>
            </w:pPr>
          </w:p>
        </w:tc>
        <w:tc>
          <w:tcPr>
            <w:tcW w:w="1705" w:type="dxa"/>
          </w:tcPr>
          <w:p w14:paraId="6BD18F9B" w14:textId="77777777" w:rsidR="00D04511" w:rsidRDefault="00D04511">
            <w:pPr>
              <w:jc w:val="both"/>
              <w:rPr>
                <w:rFonts w:ascii="Corbel" w:hAnsi="Corbel"/>
                <w:b/>
              </w:rPr>
            </w:pPr>
          </w:p>
        </w:tc>
        <w:tc>
          <w:tcPr>
            <w:tcW w:w="1705" w:type="dxa"/>
          </w:tcPr>
          <w:p w14:paraId="238601FE" w14:textId="77777777" w:rsidR="00D04511" w:rsidRDefault="00D04511">
            <w:pPr>
              <w:jc w:val="both"/>
              <w:rPr>
                <w:rFonts w:ascii="Corbel" w:hAnsi="Corbel"/>
                <w:b/>
              </w:rPr>
            </w:pPr>
          </w:p>
        </w:tc>
      </w:tr>
      <w:tr w:rsidR="00D04511" w14:paraId="0F3CABC7" w14:textId="77777777">
        <w:tc>
          <w:tcPr>
            <w:tcW w:w="1704" w:type="dxa"/>
          </w:tcPr>
          <w:p w14:paraId="5B08B5D1" w14:textId="77777777" w:rsidR="00D04511" w:rsidRDefault="00D04511">
            <w:pPr>
              <w:jc w:val="both"/>
              <w:rPr>
                <w:rFonts w:ascii="Corbel" w:hAnsi="Corbel"/>
                <w:b/>
              </w:rPr>
            </w:pPr>
          </w:p>
        </w:tc>
        <w:tc>
          <w:tcPr>
            <w:tcW w:w="1704" w:type="dxa"/>
          </w:tcPr>
          <w:p w14:paraId="16DEB4AB" w14:textId="77777777" w:rsidR="00D04511" w:rsidRDefault="00D04511">
            <w:pPr>
              <w:jc w:val="both"/>
              <w:rPr>
                <w:rFonts w:ascii="Corbel" w:hAnsi="Corbel"/>
                <w:b/>
              </w:rPr>
            </w:pPr>
          </w:p>
          <w:p w14:paraId="0AD9C6F4" w14:textId="77777777" w:rsidR="00D04511" w:rsidRDefault="00D04511">
            <w:pPr>
              <w:jc w:val="both"/>
              <w:rPr>
                <w:rFonts w:ascii="Corbel" w:hAnsi="Corbel"/>
                <w:b/>
              </w:rPr>
            </w:pPr>
          </w:p>
        </w:tc>
        <w:tc>
          <w:tcPr>
            <w:tcW w:w="1704" w:type="dxa"/>
          </w:tcPr>
          <w:p w14:paraId="4B1F511A" w14:textId="77777777" w:rsidR="00D04511" w:rsidRDefault="00D04511">
            <w:pPr>
              <w:jc w:val="both"/>
              <w:rPr>
                <w:rFonts w:ascii="Corbel" w:hAnsi="Corbel"/>
                <w:b/>
              </w:rPr>
            </w:pPr>
          </w:p>
        </w:tc>
        <w:tc>
          <w:tcPr>
            <w:tcW w:w="1705" w:type="dxa"/>
          </w:tcPr>
          <w:p w14:paraId="65F9C3DC" w14:textId="77777777" w:rsidR="00D04511" w:rsidRDefault="00D04511">
            <w:pPr>
              <w:jc w:val="both"/>
              <w:rPr>
                <w:rFonts w:ascii="Corbel" w:hAnsi="Corbel"/>
                <w:b/>
              </w:rPr>
            </w:pPr>
          </w:p>
        </w:tc>
        <w:tc>
          <w:tcPr>
            <w:tcW w:w="1705" w:type="dxa"/>
          </w:tcPr>
          <w:p w14:paraId="5023141B" w14:textId="77777777" w:rsidR="00D04511" w:rsidRDefault="00D04511">
            <w:pPr>
              <w:jc w:val="both"/>
              <w:rPr>
                <w:rFonts w:ascii="Corbel" w:hAnsi="Corbel"/>
                <w:b/>
              </w:rPr>
            </w:pPr>
          </w:p>
        </w:tc>
      </w:tr>
      <w:tr w:rsidR="00D04511" w14:paraId="1F3B1409" w14:textId="77777777">
        <w:tc>
          <w:tcPr>
            <w:tcW w:w="1704" w:type="dxa"/>
          </w:tcPr>
          <w:p w14:paraId="562C75D1" w14:textId="77777777" w:rsidR="00D04511" w:rsidRDefault="00D04511">
            <w:pPr>
              <w:jc w:val="both"/>
              <w:rPr>
                <w:rFonts w:ascii="Corbel" w:hAnsi="Corbel"/>
                <w:b/>
              </w:rPr>
            </w:pPr>
          </w:p>
        </w:tc>
        <w:tc>
          <w:tcPr>
            <w:tcW w:w="1704" w:type="dxa"/>
          </w:tcPr>
          <w:p w14:paraId="664355AD" w14:textId="77777777" w:rsidR="00D04511" w:rsidRDefault="00D04511">
            <w:pPr>
              <w:jc w:val="both"/>
              <w:rPr>
                <w:rFonts w:ascii="Corbel" w:hAnsi="Corbel"/>
                <w:b/>
              </w:rPr>
            </w:pPr>
          </w:p>
          <w:p w14:paraId="1A965116" w14:textId="77777777" w:rsidR="00D04511" w:rsidRDefault="00D04511">
            <w:pPr>
              <w:jc w:val="both"/>
              <w:rPr>
                <w:rFonts w:ascii="Corbel" w:hAnsi="Corbel"/>
                <w:b/>
              </w:rPr>
            </w:pPr>
          </w:p>
        </w:tc>
        <w:tc>
          <w:tcPr>
            <w:tcW w:w="1704" w:type="dxa"/>
          </w:tcPr>
          <w:p w14:paraId="7DF4E37C" w14:textId="77777777" w:rsidR="00D04511" w:rsidRDefault="00D04511">
            <w:pPr>
              <w:jc w:val="both"/>
              <w:rPr>
                <w:rFonts w:ascii="Corbel" w:hAnsi="Corbel"/>
                <w:b/>
              </w:rPr>
            </w:pPr>
          </w:p>
        </w:tc>
        <w:tc>
          <w:tcPr>
            <w:tcW w:w="1705" w:type="dxa"/>
          </w:tcPr>
          <w:p w14:paraId="44FB30F8" w14:textId="77777777" w:rsidR="00D04511" w:rsidRDefault="00D04511">
            <w:pPr>
              <w:jc w:val="both"/>
              <w:rPr>
                <w:rFonts w:ascii="Corbel" w:hAnsi="Corbel"/>
                <w:b/>
              </w:rPr>
            </w:pPr>
          </w:p>
        </w:tc>
        <w:tc>
          <w:tcPr>
            <w:tcW w:w="1705" w:type="dxa"/>
          </w:tcPr>
          <w:p w14:paraId="1DA6542E" w14:textId="77777777" w:rsidR="00D04511" w:rsidRDefault="00D04511">
            <w:pPr>
              <w:jc w:val="both"/>
              <w:rPr>
                <w:rFonts w:ascii="Corbel" w:hAnsi="Corbel"/>
                <w:b/>
              </w:rPr>
            </w:pPr>
          </w:p>
        </w:tc>
      </w:tr>
      <w:tr w:rsidR="00D04511" w14:paraId="3041E394" w14:textId="77777777">
        <w:tc>
          <w:tcPr>
            <w:tcW w:w="1704" w:type="dxa"/>
          </w:tcPr>
          <w:p w14:paraId="722B00AE" w14:textId="77777777" w:rsidR="00D04511" w:rsidRDefault="00D04511">
            <w:pPr>
              <w:jc w:val="both"/>
              <w:rPr>
                <w:rFonts w:ascii="Corbel" w:hAnsi="Corbel"/>
                <w:b/>
              </w:rPr>
            </w:pPr>
          </w:p>
        </w:tc>
        <w:tc>
          <w:tcPr>
            <w:tcW w:w="1704" w:type="dxa"/>
          </w:tcPr>
          <w:p w14:paraId="42C6D796" w14:textId="77777777" w:rsidR="00D04511" w:rsidRDefault="00D04511">
            <w:pPr>
              <w:jc w:val="both"/>
              <w:rPr>
                <w:rFonts w:ascii="Corbel" w:hAnsi="Corbel"/>
                <w:b/>
              </w:rPr>
            </w:pPr>
          </w:p>
          <w:p w14:paraId="6E1831B3" w14:textId="77777777" w:rsidR="00D04511" w:rsidRDefault="00D04511">
            <w:pPr>
              <w:jc w:val="both"/>
              <w:rPr>
                <w:rFonts w:ascii="Corbel" w:hAnsi="Corbel"/>
                <w:b/>
              </w:rPr>
            </w:pPr>
          </w:p>
        </w:tc>
        <w:tc>
          <w:tcPr>
            <w:tcW w:w="1704" w:type="dxa"/>
          </w:tcPr>
          <w:p w14:paraId="54E11D2A" w14:textId="77777777" w:rsidR="00D04511" w:rsidRDefault="00D04511">
            <w:pPr>
              <w:jc w:val="both"/>
              <w:rPr>
                <w:rFonts w:ascii="Corbel" w:hAnsi="Corbel"/>
                <w:b/>
              </w:rPr>
            </w:pPr>
          </w:p>
        </w:tc>
        <w:tc>
          <w:tcPr>
            <w:tcW w:w="1705" w:type="dxa"/>
          </w:tcPr>
          <w:p w14:paraId="31126E5D" w14:textId="77777777" w:rsidR="00D04511" w:rsidRDefault="00D04511">
            <w:pPr>
              <w:jc w:val="both"/>
              <w:rPr>
                <w:rFonts w:ascii="Corbel" w:hAnsi="Corbel"/>
                <w:b/>
              </w:rPr>
            </w:pPr>
          </w:p>
        </w:tc>
        <w:tc>
          <w:tcPr>
            <w:tcW w:w="1705" w:type="dxa"/>
          </w:tcPr>
          <w:p w14:paraId="2DE403A5" w14:textId="77777777" w:rsidR="00D04511" w:rsidRDefault="00D04511">
            <w:pPr>
              <w:jc w:val="both"/>
              <w:rPr>
                <w:rFonts w:ascii="Corbel" w:hAnsi="Corbel"/>
                <w:b/>
              </w:rPr>
            </w:pPr>
          </w:p>
        </w:tc>
      </w:tr>
      <w:tr w:rsidR="00D04511" w14:paraId="62431CDC" w14:textId="77777777">
        <w:tc>
          <w:tcPr>
            <w:tcW w:w="1704" w:type="dxa"/>
          </w:tcPr>
          <w:p w14:paraId="49E398E2" w14:textId="77777777" w:rsidR="00D04511" w:rsidRDefault="00D04511">
            <w:pPr>
              <w:jc w:val="both"/>
              <w:rPr>
                <w:rFonts w:ascii="Corbel" w:hAnsi="Corbel"/>
                <w:b/>
              </w:rPr>
            </w:pPr>
          </w:p>
        </w:tc>
        <w:tc>
          <w:tcPr>
            <w:tcW w:w="1704" w:type="dxa"/>
          </w:tcPr>
          <w:p w14:paraId="16287F21" w14:textId="77777777" w:rsidR="00D04511" w:rsidRDefault="00D04511">
            <w:pPr>
              <w:jc w:val="both"/>
              <w:rPr>
                <w:rFonts w:ascii="Corbel" w:hAnsi="Corbel"/>
                <w:b/>
              </w:rPr>
            </w:pPr>
          </w:p>
          <w:p w14:paraId="5BE93A62" w14:textId="77777777" w:rsidR="00D04511" w:rsidRDefault="00D04511">
            <w:pPr>
              <w:jc w:val="both"/>
              <w:rPr>
                <w:rFonts w:ascii="Corbel" w:hAnsi="Corbel"/>
                <w:b/>
              </w:rPr>
            </w:pPr>
          </w:p>
        </w:tc>
        <w:tc>
          <w:tcPr>
            <w:tcW w:w="1704" w:type="dxa"/>
          </w:tcPr>
          <w:p w14:paraId="384BA73E" w14:textId="77777777" w:rsidR="00D04511" w:rsidRDefault="00D04511">
            <w:pPr>
              <w:jc w:val="both"/>
              <w:rPr>
                <w:rFonts w:ascii="Corbel" w:hAnsi="Corbel"/>
                <w:b/>
              </w:rPr>
            </w:pPr>
          </w:p>
        </w:tc>
        <w:tc>
          <w:tcPr>
            <w:tcW w:w="1705" w:type="dxa"/>
          </w:tcPr>
          <w:p w14:paraId="34B3F2EB" w14:textId="77777777" w:rsidR="00D04511" w:rsidRDefault="00D04511">
            <w:pPr>
              <w:jc w:val="both"/>
              <w:rPr>
                <w:rFonts w:ascii="Corbel" w:hAnsi="Corbel"/>
                <w:b/>
              </w:rPr>
            </w:pPr>
          </w:p>
        </w:tc>
        <w:tc>
          <w:tcPr>
            <w:tcW w:w="1705" w:type="dxa"/>
          </w:tcPr>
          <w:p w14:paraId="7D34F5C7" w14:textId="77777777" w:rsidR="00D04511" w:rsidRDefault="00D04511">
            <w:pPr>
              <w:jc w:val="both"/>
              <w:rPr>
                <w:rFonts w:ascii="Corbel" w:hAnsi="Corbel"/>
                <w:b/>
              </w:rPr>
            </w:pPr>
          </w:p>
        </w:tc>
      </w:tr>
      <w:tr w:rsidR="00D04511" w14:paraId="0B4020A7" w14:textId="77777777">
        <w:tc>
          <w:tcPr>
            <w:tcW w:w="1704" w:type="dxa"/>
          </w:tcPr>
          <w:p w14:paraId="1D7B270A" w14:textId="77777777" w:rsidR="00D04511" w:rsidRDefault="00D04511">
            <w:pPr>
              <w:jc w:val="both"/>
              <w:rPr>
                <w:rFonts w:ascii="Corbel" w:hAnsi="Corbel"/>
                <w:b/>
              </w:rPr>
            </w:pPr>
          </w:p>
        </w:tc>
        <w:tc>
          <w:tcPr>
            <w:tcW w:w="1704" w:type="dxa"/>
          </w:tcPr>
          <w:p w14:paraId="4F904CB7" w14:textId="77777777" w:rsidR="00D04511" w:rsidRDefault="00D04511">
            <w:pPr>
              <w:jc w:val="both"/>
              <w:rPr>
                <w:rFonts w:ascii="Corbel" w:hAnsi="Corbel"/>
                <w:b/>
              </w:rPr>
            </w:pPr>
          </w:p>
          <w:p w14:paraId="06971CD3" w14:textId="77777777" w:rsidR="00D04511" w:rsidRDefault="00D04511">
            <w:pPr>
              <w:jc w:val="both"/>
              <w:rPr>
                <w:rFonts w:ascii="Corbel" w:hAnsi="Corbel"/>
                <w:b/>
              </w:rPr>
            </w:pPr>
          </w:p>
        </w:tc>
        <w:tc>
          <w:tcPr>
            <w:tcW w:w="1704" w:type="dxa"/>
          </w:tcPr>
          <w:p w14:paraId="2A1F701D" w14:textId="77777777" w:rsidR="00D04511" w:rsidRDefault="00D04511">
            <w:pPr>
              <w:jc w:val="both"/>
              <w:rPr>
                <w:rFonts w:ascii="Corbel" w:hAnsi="Corbel"/>
                <w:b/>
              </w:rPr>
            </w:pPr>
          </w:p>
        </w:tc>
        <w:tc>
          <w:tcPr>
            <w:tcW w:w="1705" w:type="dxa"/>
          </w:tcPr>
          <w:p w14:paraId="03EFCA41" w14:textId="77777777" w:rsidR="00D04511" w:rsidRDefault="00D04511">
            <w:pPr>
              <w:jc w:val="both"/>
              <w:rPr>
                <w:rFonts w:ascii="Corbel" w:hAnsi="Corbel"/>
                <w:b/>
              </w:rPr>
            </w:pPr>
          </w:p>
        </w:tc>
        <w:tc>
          <w:tcPr>
            <w:tcW w:w="1705" w:type="dxa"/>
          </w:tcPr>
          <w:p w14:paraId="5F96A722" w14:textId="77777777" w:rsidR="00D04511" w:rsidRDefault="00D04511">
            <w:pPr>
              <w:jc w:val="both"/>
              <w:rPr>
                <w:rFonts w:ascii="Corbel" w:hAnsi="Corbel"/>
                <w:b/>
              </w:rPr>
            </w:pPr>
          </w:p>
        </w:tc>
      </w:tr>
      <w:tr w:rsidR="00D04511" w14:paraId="5B95CD12" w14:textId="77777777">
        <w:tc>
          <w:tcPr>
            <w:tcW w:w="1704" w:type="dxa"/>
          </w:tcPr>
          <w:p w14:paraId="5220BBB2" w14:textId="77777777" w:rsidR="00D04511" w:rsidRDefault="00D04511">
            <w:pPr>
              <w:jc w:val="both"/>
              <w:rPr>
                <w:rFonts w:ascii="Corbel" w:hAnsi="Corbel"/>
                <w:b/>
              </w:rPr>
            </w:pPr>
          </w:p>
          <w:p w14:paraId="13CB595B" w14:textId="77777777" w:rsidR="00D04511" w:rsidRDefault="00D04511">
            <w:pPr>
              <w:jc w:val="both"/>
              <w:rPr>
                <w:rFonts w:ascii="Corbel" w:hAnsi="Corbel"/>
                <w:b/>
              </w:rPr>
            </w:pPr>
          </w:p>
        </w:tc>
        <w:tc>
          <w:tcPr>
            <w:tcW w:w="1704" w:type="dxa"/>
          </w:tcPr>
          <w:p w14:paraId="6D9C8D39" w14:textId="77777777" w:rsidR="00D04511" w:rsidRDefault="00D04511">
            <w:pPr>
              <w:jc w:val="both"/>
              <w:rPr>
                <w:rFonts w:ascii="Corbel" w:hAnsi="Corbel"/>
                <w:b/>
              </w:rPr>
            </w:pPr>
          </w:p>
        </w:tc>
        <w:tc>
          <w:tcPr>
            <w:tcW w:w="1704" w:type="dxa"/>
          </w:tcPr>
          <w:p w14:paraId="675E05EE" w14:textId="77777777" w:rsidR="00D04511" w:rsidRDefault="00D04511">
            <w:pPr>
              <w:jc w:val="both"/>
              <w:rPr>
                <w:rFonts w:ascii="Corbel" w:hAnsi="Corbel"/>
                <w:b/>
              </w:rPr>
            </w:pPr>
          </w:p>
        </w:tc>
        <w:tc>
          <w:tcPr>
            <w:tcW w:w="1705" w:type="dxa"/>
          </w:tcPr>
          <w:p w14:paraId="2FC17F8B" w14:textId="77777777" w:rsidR="00D04511" w:rsidRDefault="00D04511">
            <w:pPr>
              <w:jc w:val="both"/>
              <w:rPr>
                <w:rFonts w:ascii="Corbel" w:hAnsi="Corbel"/>
                <w:b/>
              </w:rPr>
            </w:pPr>
          </w:p>
        </w:tc>
        <w:tc>
          <w:tcPr>
            <w:tcW w:w="1705" w:type="dxa"/>
          </w:tcPr>
          <w:p w14:paraId="0A4F7224" w14:textId="77777777" w:rsidR="00D04511" w:rsidRDefault="00D04511">
            <w:pPr>
              <w:jc w:val="both"/>
              <w:rPr>
                <w:rFonts w:ascii="Corbel" w:hAnsi="Corbel"/>
                <w:b/>
              </w:rPr>
            </w:pPr>
          </w:p>
        </w:tc>
      </w:tr>
      <w:tr w:rsidR="00D04511" w14:paraId="5AE48A43" w14:textId="77777777">
        <w:tc>
          <w:tcPr>
            <w:tcW w:w="1704" w:type="dxa"/>
          </w:tcPr>
          <w:p w14:paraId="50F40DEB" w14:textId="77777777" w:rsidR="00D04511" w:rsidRDefault="00D04511">
            <w:pPr>
              <w:jc w:val="both"/>
              <w:rPr>
                <w:rFonts w:ascii="Corbel" w:hAnsi="Corbel"/>
                <w:b/>
              </w:rPr>
            </w:pPr>
          </w:p>
          <w:p w14:paraId="77A52294" w14:textId="77777777" w:rsidR="00D04511" w:rsidRDefault="00D04511">
            <w:pPr>
              <w:jc w:val="both"/>
              <w:rPr>
                <w:rFonts w:ascii="Corbel" w:hAnsi="Corbel"/>
                <w:b/>
              </w:rPr>
            </w:pPr>
          </w:p>
        </w:tc>
        <w:tc>
          <w:tcPr>
            <w:tcW w:w="1704" w:type="dxa"/>
          </w:tcPr>
          <w:p w14:paraId="007DCDA8" w14:textId="77777777" w:rsidR="00D04511" w:rsidRDefault="00D04511">
            <w:pPr>
              <w:jc w:val="both"/>
              <w:rPr>
                <w:rFonts w:ascii="Corbel" w:hAnsi="Corbel"/>
                <w:b/>
              </w:rPr>
            </w:pPr>
          </w:p>
        </w:tc>
        <w:tc>
          <w:tcPr>
            <w:tcW w:w="1704" w:type="dxa"/>
          </w:tcPr>
          <w:p w14:paraId="450EA2D7" w14:textId="77777777" w:rsidR="00D04511" w:rsidRDefault="00D04511">
            <w:pPr>
              <w:jc w:val="both"/>
              <w:rPr>
                <w:rFonts w:ascii="Corbel" w:hAnsi="Corbel"/>
                <w:b/>
              </w:rPr>
            </w:pPr>
          </w:p>
        </w:tc>
        <w:tc>
          <w:tcPr>
            <w:tcW w:w="1705" w:type="dxa"/>
          </w:tcPr>
          <w:p w14:paraId="3DD355C9" w14:textId="77777777" w:rsidR="00D04511" w:rsidRDefault="00D04511">
            <w:pPr>
              <w:jc w:val="both"/>
              <w:rPr>
                <w:rFonts w:ascii="Corbel" w:hAnsi="Corbel"/>
                <w:b/>
              </w:rPr>
            </w:pPr>
          </w:p>
        </w:tc>
        <w:tc>
          <w:tcPr>
            <w:tcW w:w="1705" w:type="dxa"/>
          </w:tcPr>
          <w:p w14:paraId="1A81F0B1" w14:textId="77777777" w:rsidR="00D04511" w:rsidRDefault="00D04511">
            <w:pPr>
              <w:jc w:val="both"/>
              <w:rPr>
                <w:rFonts w:ascii="Corbel" w:hAnsi="Corbel"/>
                <w:b/>
              </w:rPr>
            </w:pPr>
          </w:p>
        </w:tc>
      </w:tr>
      <w:tr w:rsidR="00D04511" w14:paraId="717AAFBA" w14:textId="77777777">
        <w:tc>
          <w:tcPr>
            <w:tcW w:w="1704" w:type="dxa"/>
          </w:tcPr>
          <w:p w14:paraId="56EE48EE" w14:textId="77777777" w:rsidR="00D04511" w:rsidRDefault="00D04511">
            <w:pPr>
              <w:jc w:val="both"/>
              <w:rPr>
                <w:rFonts w:ascii="Corbel" w:hAnsi="Corbel"/>
                <w:b/>
              </w:rPr>
            </w:pPr>
          </w:p>
          <w:p w14:paraId="2908EB2C" w14:textId="77777777" w:rsidR="00D04511" w:rsidRDefault="00D04511">
            <w:pPr>
              <w:jc w:val="both"/>
              <w:rPr>
                <w:rFonts w:ascii="Corbel" w:hAnsi="Corbel"/>
                <w:b/>
              </w:rPr>
            </w:pPr>
          </w:p>
        </w:tc>
        <w:tc>
          <w:tcPr>
            <w:tcW w:w="1704" w:type="dxa"/>
          </w:tcPr>
          <w:p w14:paraId="121FD38A" w14:textId="77777777" w:rsidR="00D04511" w:rsidRDefault="00D04511">
            <w:pPr>
              <w:jc w:val="both"/>
              <w:rPr>
                <w:rFonts w:ascii="Corbel" w:hAnsi="Corbel"/>
                <w:b/>
              </w:rPr>
            </w:pPr>
          </w:p>
        </w:tc>
        <w:tc>
          <w:tcPr>
            <w:tcW w:w="1704" w:type="dxa"/>
          </w:tcPr>
          <w:p w14:paraId="1FE2DD96" w14:textId="77777777" w:rsidR="00D04511" w:rsidRDefault="00D04511">
            <w:pPr>
              <w:jc w:val="both"/>
              <w:rPr>
                <w:rFonts w:ascii="Corbel" w:hAnsi="Corbel"/>
                <w:b/>
              </w:rPr>
            </w:pPr>
          </w:p>
        </w:tc>
        <w:tc>
          <w:tcPr>
            <w:tcW w:w="1705" w:type="dxa"/>
          </w:tcPr>
          <w:p w14:paraId="27357532" w14:textId="77777777" w:rsidR="00D04511" w:rsidRDefault="00D04511">
            <w:pPr>
              <w:jc w:val="both"/>
              <w:rPr>
                <w:rFonts w:ascii="Corbel" w:hAnsi="Corbel"/>
                <w:b/>
              </w:rPr>
            </w:pPr>
          </w:p>
        </w:tc>
        <w:tc>
          <w:tcPr>
            <w:tcW w:w="1705" w:type="dxa"/>
          </w:tcPr>
          <w:p w14:paraId="07F023C8" w14:textId="77777777" w:rsidR="00D04511" w:rsidRDefault="00D04511">
            <w:pPr>
              <w:jc w:val="both"/>
              <w:rPr>
                <w:rFonts w:ascii="Corbel" w:hAnsi="Corbel"/>
                <w:b/>
              </w:rPr>
            </w:pPr>
          </w:p>
        </w:tc>
      </w:tr>
      <w:tr w:rsidR="00D04511" w14:paraId="4BDB5498" w14:textId="77777777">
        <w:tc>
          <w:tcPr>
            <w:tcW w:w="1704" w:type="dxa"/>
          </w:tcPr>
          <w:p w14:paraId="2916C19D" w14:textId="77777777" w:rsidR="00D04511" w:rsidRDefault="00D04511">
            <w:pPr>
              <w:jc w:val="both"/>
              <w:rPr>
                <w:rFonts w:ascii="Corbel" w:hAnsi="Corbel"/>
                <w:b/>
              </w:rPr>
            </w:pPr>
          </w:p>
          <w:p w14:paraId="74869460" w14:textId="77777777" w:rsidR="00D04511" w:rsidRDefault="00D04511">
            <w:pPr>
              <w:jc w:val="both"/>
              <w:rPr>
                <w:rFonts w:ascii="Corbel" w:hAnsi="Corbel"/>
                <w:b/>
              </w:rPr>
            </w:pPr>
          </w:p>
        </w:tc>
        <w:tc>
          <w:tcPr>
            <w:tcW w:w="1704" w:type="dxa"/>
          </w:tcPr>
          <w:p w14:paraId="187F57B8" w14:textId="77777777" w:rsidR="00D04511" w:rsidRDefault="00D04511">
            <w:pPr>
              <w:jc w:val="both"/>
              <w:rPr>
                <w:rFonts w:ascii="Corbel" w:hAnsi="Corbel"/>
                <w:b/>
              </w:rPr>
            </w:pPr>
          </w:p>
        </w:tc>
        <w:tc>
          <w:tcPr>
            <w:tcW w:w="1704" w:type="dxa"/>
          </w:tcPr>
          <w:p w14:paraId="54738AF4" w14:textId="77777777" w:rsidR="00D04511" w:rsidRDefault="00D04511">
            <w:pPr>
              <w:jc w:val="both"/>
              <w:rPr>
                <w:rFonts w:ascii="Corbel" w:hAnsi="Corbel"/>
                <w:b/>
              </w:rPr>
            </w:pPr>
          </w:p>
        </w:tc>
        <w:tc>
          <w:tcPr>
            <w:tcW w:w="1705" w:type="dxa"/>
          </w:tcPr>
          <w:p w14:paraId="46ABBD8F" w14:textId="77777777" w:rsidR="00D04511" w:rsidRDefault="00D04511">
            <w:pPr>
              <w:jc w:val="both"/>
              <w:rPr>
                <w:rFonts w:ascii="Corbel" w:hAnsi="Corbel"/>
                <w:b/>
              </w:rPr>
            </w:pPr>
          </w:p>
        </w:tc>
        <w:tc>
          <w:tcPr>
            <w:tcW w:w="1705" w:type="dxa"/>
          </w:tcPr>
          <w:p w14:paraId="06BBA33E" w14:textId="77777777" w:rsidR="00D04511" w:rsidRDefault="00D04511">
            <w:pPr>
              <w:jc w:val="both"/>
              <w:rPr>
                <w:rFonts w:ascii="Corbel" w:hAnsi="Corbel"/>
                <w:b/>
              </w:rPr>
            </w:pPr>
          </w:p>
        </w:tc>
      </w:tr>
      <w:tr w:rsidR="00D04511" w14:paraId="464FCBC1" w14:textId="77777777">
        <w:tc>
          <w:tcPr>
            <w:tcW w:w="1704" w:type="dxa"/>
          </w:tcPr>
          <w:p w14:paraId="5C8C6B09" w14:textId="77777777" w:rsidR="00D04511" w:rsidRDefault="00D04511">
            <w:pPr>
              <w:jc w:val="both"/>
              <w:rPr>
                <w:rFonts w:ascii="Corbel" w:hAnsi="Corbel"/>
                <w:b/>
              </w:rPr>
            </w:pPr>
          </w:p>
          <w:p w14:paraId="3382A365" w14:textId="77777777" w:rsidR="00D04511" w:rsidRDefault="00D04511">
            <w:pPr>
              <w:jc w:val="both"/>
              <w:rPr>
                <w:rFonts w:ascii="Corbel" w:hAnsi="Corbel"/>
                <w:b/>
              </w:rPr>
            </w:pPr>
          </w:p>
        </w:tc>
        <w:tc>
          <w:tcPr>
            <w:tcW w:w="1704" w:type="dxa"/>
          </w:tcPr>
          <w:p w14:paraId="5C71F136" w14:textId="77777777" w:rsidR="00D04511" w:rsidRDefault="00D04511">
            <w:pPr>
              <w:jc w:val="both"/>
              <w:rPr>
                <w:rFonts w:ascii="Corbel" w:hAnsi="Corbel"/>
                <w:b/>
              </w:rPr>
            </w:pPr>
          </w:p>
        </w:tc>
        <w:tc>
          <w:tcPr>
            <w:tcW w:w="1704" w:type="dxa"/>
          </w:tcPr>
          <w:p w14:paraId="62199465" w14:textId="77777777" w:rsidR="00D04511" w:rsidRDefault="00D04511">
            <w:pPr>
              <w:jc w:val="both"/>
              <w:rPr>
                <w:rFonts w:ascii="Corbel" w:hAnsi="Corbel"/>
                <w:b/>
              </w:rPr>
            </w:pPr>
          </w:p>
        </w:tc>
        <w:tc>
          <w:tcPr>
            <w:tcW w:w="1705" w:type="dxa"/>
          </w:tcPr>
          <w:p w14:paraId="0DA123B1" w14:textId="77777777" w:rsidR="00D04511" w:rsidRDefault="00D04511">
            <w:pPr>
              <w:jc w:val="both"/>
              <w:rPr>
                <w:rFonts w:ascii="Corbel" w:hAnsi="Corbel"/>
                <w:b/>
              </w:rPr>
            </w:pPr>
          </w:p>
        </w:tc>
        <w:tc>
          <w:tcPr>
            <w:tcW w:w="1705" w:type="dxa"/>
          </w:tcPr>
          <w:p w14:paraId="4C4CEA3D" w14:textId="77777777" w:rsidR="00D04511" w:rsidRDefault="00D04511">
            <w:pPr>
              <w:jc w:val="both"/>
              <w:rPr>
                <w:rFonts w:ascii="Corbel" w:hAnsi="Corbel"/>
                <w:b/>
              </w:rPr>
            </w:pPr>
          </w:p>
        </w:tc>
      </w:tr>
      <w:tr w:rsidR="00D04511" w14:paraId="50895670" w14:textId="77777777">
        <w:tc>
          <w:tcPr>
            <w:tcW w:w="1704" w:type="dxa"/>
          </w:tcPr>
          <w:p w14:paraId="38C1F859" w14:textId="77777777" w:rsidR="00D04511" w:rsidRDefault="00D04511">
            <w:pPr>
              <w:jc w:val="both"/>
              <w:rPr>
                <w:rFonts w:ascii="Corbel" w:hAnsi="Corbel"/>
                <w:b/>
              </w:rPr>
            </w:pPr>
          </w:p>
          <w:p w14:paraId="0C8FE7CE" w14:textId="77777777" w:rsidR="00D04511" w:rsidRDefault="00D04511">
            <w:pPr>
              <w:jc w:val="both"/>
              <w:rPr>
                <w:rFonts w:ascii="Corbel" w:hAnsi="Corbel"/>
                <w:b/>
              </w:rPr>
            </w:pPr>
          </w:p>
        </w:tc>
        <w:tc>
          <w:tcPr>
            <w:tcW w:w="1704" w:type="dxa"/>
          </w:tcPr>
          <w:p w14:paraId="41004F19" w14:textId="77777777" w:rsidR="00D04511" w:rsidRDefault="00D04511">
            <w:pPr>
              <w:jc w:val="both"/>
              <w:rPr>
                <w:rFonts w:ascii="Corbel" w:hAnsi="Corbel"/>
                <w:b/>
              </w:rPr>
            </w:pPr>
          </w:p>
        </w:tc>
        <w:tc>
          <w:tcPr>
            <w:tcW w:w="1704" w:type="dxa"/>
          </w:tcPr>
          <w:p w14:paraId="67C0C651" w14:textId="77777777" w:rsidR="00D04511" w:rsidRDefault="00D04511">
            <w:pPr>
              <w:jc w:val="both"/>
              <w:rPr>
                <w:rFonts w:ascii="Corbel" w:hAnsi="Corbel"/>
                <w:b/>
              </w:rPr>
            </w:pPr>
          </w:p>
        </w:tc>
        <w:tc>
          <w:tcPr>
            <w:tcW w:w="1705" w:type="dxa"/>
          </w:tcPr>
          <w:p w14:paraId="308D56CC" w14:textId="77777777" w:rsidR="00D04511" w:rsidRDefault="00D04511">
            <w:pPr>
              <w:jc w:val="both"/>
              <w:rPr>
                <w:rFonts w:ascii="Corbel" w:hAnsi="Corbel"/>
                <w:b/>
              </w:rPr>
            </w:pPr>
          </w:p>
        </w:tc>
        <w:tc>
          <w:tcPr>
            <w:tcW w:w="1705" w:type="dxa"/>
          </w:tcPr>
          <w:p w14:paraId="797E50C6" w14:textId="77777777" w:rsidR="00D04511" w:rsidRDefault="00D04511">
            <w:pPr>
              <w:jc w:val="both"/>
              <w:rPr>
                <w:rFonts w:ascii="Corbel" w:hAnsi="Corbel"/>
                <w:b/>
              </w:rPr>
            </w:pPr>
          </w:p>
        </w:tc>
      </w:tr>
    </w:tbl>
    <w:p w14:paraId="7B04FA47" w14:textId="77777777" w:rsidR="00D04511" w:rsidRDefault="00D04511">
      <w:pPr>
        <w:rPr>
          <w:b/>
          <w:color w:val="0070C0"/>
          <w:sz w:val="40"/>
        </w:rPr>
      </w:pPr>
    </w:p>
    <w:sectPr w:rsidR="00D045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8676B"/>
    <w:multiLevelType w:val="hybridMultilevel"/>
    <w:tmpl w:val="ADEA68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EC6731"/>
    <w:multiLevelType w:val="hybridMultilevel"/>
    <w:tmpl w:val="21700A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5672586">
    <w:abstractNumId w:val="1"/>
  </w:num>
  <w:num w:numId="2" w16cid:durableId="145571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525C419"/>
    <w:rsid w:val="001C5089"/>
    <w:rsid w:val="00636955"/>
    <w:rsid w:val="00D04511"/>
    <w:rsid w:val="00DD4972"/>
    <w:rsid w:val="028E1CCE"/>
    <w:rsid w:val="03047A54"/>
    <w:rsid w:val="036C7786"/>
    <w:rsid w:val="0525C419"/>
    <w:rsid w:val="0554687A"/>
    <w:rsid w:val="0888BBCB"/>
    <w:rsid w:val="0A6D3B5C"/>
    <w:rsid w:val="0D8FD1ED"/>
    <w:rsid w:val="0F517BF8"/>
    <w:rsid w:val="0FBAAC22"/>
    <w:rsid w:val="109A7625"/>
    <w:rsid w:val="10E3E527"/>
    <w:rsid w:val="1267F6FC"/>
    <w:rsid w:val="165145A6"/>
    <w:rsid w:val="173987A4"/>
    <w:rsid w:val="1B3F36C0"/>
    <w:rsid w:val="1EE43A6F"/>
    <w:rsid w:val="1EFD19F6"/>
    <w:rsid w:val="20FED308"/>
    <w:rsid w:val="258CF7BF"/>
    <w:rsid w:val="2A56EBBF"/>
    <w:rsid w:val="2B7067A8"/>
    <w:rsid w:val="2D8A1712"/>
    <w:rsid w:val="31DA01D0"/>
    <w:rsid w:val="3358D9BE"/>
    <w:rsid w:val="338AD7A8"/>
    <w:rsid w:val="358838DC"/>
    <w:rsid w:val="363CBD04"/>
    <w:rsid w:val="3D31E2FB"/>
    <w:rsid w:val="41F33DB9"/>
    <w:rsid w:val="45A35107"/>
    <w:rsid w:val="46657371"/>
    <w:rsid w:val="4BD14102"/>
    <w:rsid w:val="4CB48770"/>
    <w:rsid w:val="4CCEBC0E"/>
    <w:rsid w:val="57A6EF8F"/>
    <w:rsid w:val="58E55DD8"/>
    <w:rsid w:val="5A770693"/>
    <w:rsid w:val="607EDD99"/>
    <w:rsid w:val="6157B1E9"/>
    <w:rsid w:val="615BCE02"/>
    <w:rsid w:val="61F0CC84"/>
    <w:rsid w:val="6627848C"/>
    <w:rsid w:val="6963E133"/>
    <w:rsid w:val="6AE42793"/>
    <w:rsid w:val="79DBC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FAD1"/>
  <w15:chartTrackingRefBased/>
  <w15:docId w15:val="{B034DEB5-8C9F-40B6-9B68-7BB29333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C00CAF58109448B2E650C4357AAA6" ma:contentTypeVersion="7" ma:contentTypeDescription="Create a new document." ma:contentTypeScope="" ma:versionID="eafa5d02bd7a9f7f106429dbe76bdffb">
  <xsd:schema xmlns:xsd="http://www.w3.org/2001/XMLSchema" xmlns:xs="http://www.w3.org/2001/XMLSchema" xmlns:p="http://schemas.microsoft.com/office/2006/metadata/properties" xmlns:ns2="5891dc4f-14e5-4dc5-9892-d7f54a306cb9" targetNamespace="http://schemas.microsoft.com/office/2006/metadata/properties" ma:root="true" ma:fieldsID="a38ad1d9ad15b44b9026587d4cabafc1" ns2:_="">
    <xsd:import namespace="5891dc4f-14e5-4dc5-9892-d7f54a306c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91dc4f-14e5-4dc5-9892-d7f54a306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43192-8346-4453-BB63-23827535A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AA6AA-7AA9-4A6C-B1B2-E339AB568E64}">
  <ds:schemaRefs>
    <ds:schemaRef ds:uri="http://schemas.microsoft.com/sharepoint/v3/contenttype/forms"/>
  </ds:schemaRefs>
</ds:datastoreItem>
</file>

<file path=customXml/itemProps3.xml><?xml version="1.0" encoding="utf-8"?>
<ds:datastoreItem xmlns:ds="http://schemas.openxmlformats.org/officeDocument/2006/customXml" ds:itemID="{B99D4B4F-D83A-415D-A4DA-7957545A6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1dc4f-14e5-4dc5-9892-d7f54a306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1307</Words>
  <Characters>7450</Characters>
  <Application>Microsoft Office Word</Application>
  <DocSecurity>0</DocSecurity>
  <Lines>62</Lines>
  <Paragraphs>17</Paragraphs>
  <ScaleCrop>false</ScaleCrop>
  <Company/>
  <LinksUpToDate>false</LinksUpToDate>
  <CharactersWithSpaces>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Mulholland</dc:creator>
  <cp:keywords/>
  <dc:description/>
  <cp:lastModifiedBy>Sahar Heydariyan</cp:lastModifiedBy>
  <cp:revision>10</cp:revision>
  <cp:lastPrinted>2024-05-20T05:23:00Z</cp:lastPrinted>
  <dcterms:created xsi:type="dcterms:W3CDTF">2024-05-20T05:24:00Z</dcterms:created>
  <dcterms:modified xsi:type="dcterms:W3CDTF">2025-09-30T10:33:00Z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0x010100B96C00CAF58109448B2E650C4357AAA6</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